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Style w:val="Tabela-Siatka"/>
        <w:tblW w:w="14737" w:type="dxa"/>
        <w:jc w:val="left"/>
        <w:tblInd w:w="-5" w:type="dxa"/>
        <w:tblCellMar>
          <w:top w:w="0" w:type="dxa"/>
          <w:left w:w="103" w:type="dxa"/>
          <w:bottom w:w="0" w:type="dxa"/>
          <w:right w:w="108" w:type="dxa"/>
        </w:tblCellMar>
        <w:tblLook w:firstRow="1" w:noVBand="1" w:lastRow="0" w:firstColumn="1" w:lastColumn="0" w:noHBand="0" w:val="04a0"/>
      </w:tblPr>
      <w:tblGrid>
        <w:gridCol w:w="1271"/>
        <w:gridCol w:w="1701"/>
        <w:gridCol w:w="1985"/>
        <w:gridCol w:w="1701"/>
        <w:gridCol w:w="8079"/>
      </w:tblGrid>
      <w:tr>
        <w:trPr/>
        <w:tc>
          <w:tcPr>
            <w:tcW w:w="1271" w:type="dxa"/>
            <w:tcBorders/>
            <w:shd w:fill="auto" w:val="clear"/>
            <w:tcMar>
              <w:left w:w="103" w:type="dxa"/>
            </w:tcMar>
          </w:tcPr>
          <w:p>
            <w:pPr>
              <w:pStyle w:val="Normal"/>
              <w:spacing w:lineRule="auto" w:line="240" w:before="0" w:after="0"/>
              <w:rPr>
                <w:sz w:val="16"/>
                <w:szCs w:val="16"/>
              </w:rPr>
            </w:pPr>
            <w:r>
              <w:rPr>
                <w:sz w:val="16"/>
                <w:szCs w:val="16"/>
              </w:rPr>
            </w:r>
          </w:p>
        </w:tc>
        <w:tc>
          <w:tcPr>
            <w:tcW w:w="1701" w:type="dxa"/>
            <w:tcBorders/>
            <w:shd w:fill="auto" w:val="clear"/>
            <w:tcMar>
              <w:left w:w="103" w:type="dxa"/>
            </w:tcMar>
          </w:tcPr>
          <w:p>
            <w:pPr>
              <w:pStyle w:val="Normal"/>
              <w:spacing w:lineRule="auto" w:line="240" w:before="0" w:after="0"/>
              <w:rPr>
                <w:b/>
                <w:b/>
                <w:sz w:val="16"/>
                <w:szCs w:val="16"/>
              </w:rPr>
            </w:pPr>
            <w:r>
              <w:rPr>
                <w:b/>
                <w:sz w:val="16"/>
                <w:szCs w:val="16"/>
              </w:rPr>
              <w:t xml:space="preserve">USTAWA </w:t>
            </w:r>
          </w:p>
          <w:p>
            <w:pPr>
              <w:pStyle w:val="Normal"/>
              <w:spacing w:lineRule="auto" w:line="240" w:before="0" w:after="0"/>
              <w:rPr>
                <w:sz w:val="16"/>
                <w:szCs w:val="16"/>
              </w:rPr>
            </w:pPr>
            <w:r>
              <w:rPr>
                <w:b/>
                <w:sz w:val="16"/>
                <w:szCs w:val="16"/>
              </w:rPr>
              <w:t>z dnia 1 sierpnia 1997 r. o Trybunale Konstytucyjnym</w:t>
            </w:r>
          </w:p>
        </w:tc>
        <w:tc>
          <w:tcPr>
            <w:tcW w:w="1985" w:type="dxa"/>
            <w:tcBorders/>
            <w:shd w:fill="auto" w:val="clear"/>
            <w:tcMar>
              <w:left w:w="103" w:type="dxa"/>
            </w:tcMar>
          </w:tcPr>
          <w:p>
            <w:pPr>
              <w:pStyle w:val="Normal"/>
              <w:spacing w:lineRule="auto" w:line="240" w:before="0" w:after="0"/>
              <w:rPr>
                <w:b/>
                <w:b/>
                <w:sz w:val="16"/>
                <w:szCs w:val="16"/>
              </w:rPr>
            </w:pPr>
            <w:r>
              <w:rPr>
                <w:b/>
                <w:sz w:val="16"/>
                <w:szCs w:val="16"/>
              </w:rPr>
              <w:t xml:space="preserve">USTAWA  z dnia 25 czerwca 2015 r. </w:t>
            </w:r>
          </w:p>
          <w:p>
            <w:pPr>
              <w:pStyle w:val="Normal"/>
              <w:spacing w:lineRule="auto" w:line="240" w:before="0" w:after="0"/>
              <w:rPr>
                <w:b/>
                <w:b/>
                <w:sz w:val="16"/>
                <w:szCs w:val="16"/>
              </w:rPr>
            </w:pPr>
            <w:r>
              <w:rPr>
                <w:b/>
                <w:sz w:val="16"/>
                <w:szCs w:val="16"/>
              </w:rPr>
              <w:t>o Trybunale Konstytucyjnym</w:t>
            </w:r>
          </w:p>
          <w:p>
            <w:pPr>
              <w:pStyle w:val="Normal"/>
              <w:spacing w:lineRule="auto" w:line="240" w:before="0" w:after="0"/>
              <w:rPr>
                <w:sz w:val="16"/>
                <w:szCs w:val="16"/>
              </w:rPr>
            </w:pPr>
            <w:r>
              <w:rPr>
                <w:b/>
                <w:sz w:val="16"/>
                <w:szCs w:val="16"/>
              </w:rPr>
              <w:t>(Przepisy ostateczne)</w:t>
            </w:r>
          </w:p>
        </w:tc>
        <w:tc>
          <w:tcPr>
            <w:tcW w:w="1701" w:type="dxa"/>
            <w:tcBorders/>
            <w:shd w:fill="auto" w:val="clear"/>
            <w:tcMar>
              <w:left w:w="103" w:type="dxa"/>
            </w:tcMar>
          </w:tcPr>
          <w:p>
            <w:pPr>
              <w:pStyle w:val="Normal"/>
              <w:spacing w:lineRule="auto" w:line="240" w:before="0" w:after="0"/>
              <w:rPr>
                <w:b/>
                <w:b/>
                <w:sz w:val="16"/>
                <w:szCs w:val="16"/>
              </w:rPr>
            </w:pPr>
            <w:r>
              <w:rPr>
                <w:b/>
                <w:sz w:val="16"/>
                <w:szCs w:val="16"/>
              </w:rPr>
              <w:t xml:space="preserve">USTAWA   z           dnia 25 czerwca 2015 r. </w:t>
            </w:r>
          </w:p>
          <w:p>
            <w:pPr>
              <w:pStyle w:val="Normal"/>
              <w:spacing w:lineRule="auto" w:line="240" w:before="0" w:after="0"/>
              <w:rPr>
                <w:b/>
                <w:b/>
                <w:sz w:val="16"/>
                <w:szCs w:val="16"/>
              </w:rPr>
            </w:pPr>
            <w:r>
              <w:rPr>
                <w:b/>
                <w:sz w:val="16"/>
                <w:szCs w:val="16"/>
              </w:rPr>
              <w:t>o Trybunale Konstytucyjnym</w:t>
            </w:r>
          </w:p>
          <w:p>
            <w:pPr>
              <w:pStyle w:val="Normal"/>
              <w:spacing w:lineRule="auto" w:line="240" w:before="0" w:after="0"/>
              <w:rPr>
                <w:sz w:val="16"/>
                <w:szCs w:val="16"/>
              </w:rPr>
            </w:pPr>
            <w:r>
              <w:rPr>
                <w:b/>
                <w:sz w:val="16"/>
                <w:szCs w:val="16"/>
              </w:rPr>
              <w:t>(Przepisy przejściowe)</w:t>
            </w:r>
          </w:p>
        </w:tc>
        <w:tc>
          <w:tcPr>
            <w:tcW w:w="8079" w:type="dxa"/>
            <w:tcBorders/>
            <w:shd w:fill="auto" w:val="clear"/>
            <w:tcMar>
              <w:left w:w="103" w:type="dxa"/>
            </w:tcMar>
          </w:tcPr>
          <w:p>
            <w:pPr>
              <w:pStyle w:val="Normal"/>
              <w:spacing w:lineRule="auto" w:line="240" w:before="0" w:after="0"/>
              <w:rPr>
                <w:b/>
                <w:b/>
                <w:sz w:val="16"/>
                <w:szCs w:val="16"/>
              </w:rPr>
            </w:pPr>
            <w:r>
              <w:rPr>
                <w:b/>
                <w:sz w:val="16"/>
                <w:szCs w:val="16"/>
              </w:rPr>
              <w:t>Ustawa z dnia 19 listopada 2015 r. o zmianie ustawy o Trybunale Konstytucyjnym</w:t>
            </w:r>
          </w:p>
        </w:tc>
      </w:tr>
      <w:tr>
        <w:trPr/>
        <w:tc>
          <w:tcPr>
            <w:tcW w:w="1271" w:type="dxa"/>
            <w:tcBorders/>
            <w:shd w:fill="auto" w:val="clear"/>
            <w:tcMar>
              <w:left w:w="103" w:type="dxa"/>
            </w:tcMar>
          </w:tcPr>
          <w:p>
            <w:pPr>
              <w:pStyle w:val="Normal"/>
              <w:spacing w:lineRule="auto" w:line="240" w:before="0" w:after="0"/>
              <w:rPr>
                <w:b/>
                <w:b/>
                <w:sz w:val="16"/>
                <w:szCs w:val="16"/>
              </w:rPr>
            </w:pPr>
            <w:r>
              <w:rPr>
                <w:b/>
                <w:color w:val="000000" w:themeColor="text1"/>
                <w:sz w:val="16"/>
                <w:szCs w:val="16"/>
              </w:rPr>
              <w:t>Kwalifikacje osób kandydujących</w:t>
            </w:r>
          </w:p>
        </w:tc>
        <w:tc>
          <w:tcPr>
            <w:tcW w:w="1701" w:type="dxa"/>
            <w:tcBorders/>
            <w:shd w:fill="auto" w:val="clear"/>
            <w:tcMar>
              <w:left w:w="103" w:type="dxa"/>
            </w:tcMar>
          </w:tcPr>
          <w:p>
            <w:pPr>
              <w:pStyle w:val="Normal"/>
              <w:spacing w:lineRule="auto" w:line="240" w:before="0" w:after="0"/>
              <w:rPr>
                <w:sz w:val="16"/>
                <w:szCs w:val="16"/>
              </w:rPr>
            </w:pPr>
            <w:r>
              <w:rPr>
                <w:sz w:val="16"/>
                <w:szCs w:val="16"/>
              </w:rPr>
              <w:t>Art. 5.3. Sędzią TK może zostać osoba, która posiada kwalifikacje wymagane do zajmowania stanowiska sędziego SN</w:t>
            </w:r>
            <w:r>
              <w:rPr>
                <w:rStyle w:val="Zakotwiczenieprzypisudolnego"/>
                <w:sz w:val="16"/>
                <w:szCs w:val="16"/>
              </w:rPr>
              <w:footnoteReference w:id="2"/>
            </w:r>
            <w:r>
              <w:rPr>
                <w:sz w:val="16"/>
                <w:szCs w:val="16"/>
              </w:rPr>
              <w:t xml:space="preserve"> lub NSA</w:t>
            </w:r>
            <w:r>
              <w:rPr>
                <w:rStyle w:val="Zakotwiczenieprzypisudolnego"/>
                <w:sz w:val="16"/>
                <w:szCs w:val="16"/>
              </w:rPr>
              <w:footnoteReference w:id="3"/>
            </w:r>
          </w:p>
        </w:tc>
        <w:tc>
          <w:tcPr>
            <w:tcW w:w="1985" w:type="dxa"/>
            <w:tcBorders/>
            <w:shd w:fill="auto" w:val="clear"/>
            <w:tcMar>
              <w:left w:w="103" w:type="dxa"/>
            </w:tcMar>
          </w:tcPr>
          <w:p>
            <w:pPr>
              <w:pStyle w:val="Normal"/>
              <w:spacing w:lineRule="auto" w:line="240" w:before="0" w:after="0"/>
              <w:rPr>
                <w:sz w:val="16"/>
                <w:szCs w:val="16"/>
              </w:rPr>
            </w:pPr>
            <w:r>
              <w:rPr>
                <w:sz w:val="16"/>
                <w:szCs w:val="16"/>
              </w:rPr>
              <w:t>Art. 18 Sędzią Trybunału może zostać osoba, która wyróżnia się wiedzą prawniczą oraz</w:t>
            </w:r>
          </w:p>
          <w:p>
            <w:pPr>
              <w:pStyle w:val="Normal"/>
              <w:spacing w:lineRule="auto" w:line="240" w:before="0" w:after="0"/>
              <w:rPr>
                <w:sz w:val="16"/>
                <w:szCs w:val="16"/>
              </w:rPr>
            </w:pPr>
            <w:r>
              <w:rPr>
                <w:sz w:val="16"/>
                <w:szCs w:val="16"/>
              </w:rPr>
              <w:t xml:space="preserve"> </w:t>
            </w:r>
            <w:r>
              <w:rPr>
                <w:sz w:val="16"/>
                <w:szCs w:val="16"/>
              </w:rPr>
              <w:t xml:space="preserve">1) posiada kwalifikacje wymagane do zajmowania stanowiska sędziego Sądu Najwyższego, </w:t>
            </w:r>
          </w:p>
          <w:p>
            <w:pPr>
              <w:pStyle w:val="Normal"/>
              <w:spacing w:lineRule="auto" w:line="240" w:before="0" w:after="0"/>
              <w:rPr>
                <w:sz w:val="16"/>
                <w:szCs w:val="16"/>
              </w:rPr>
            </w:pPr>
            <w:r>
              <w:rPr>
                <w:sz w:val="16"/>
                <w:szCs w:val="16"/>
              </w:rPr>
              <w:t>2) w dniu wyboru ma ukończone 40 lat i nie ukończyła 67 lat.</w:t>
            </w:r>
          </w:p>
        </w:tc>
        <w:tc>
          <w:tcPr>
            <w:tcW w:w="1701" w:type="dxa"/>
            <w:tcBorders/>
            <w:shd w:fill="auto" w:val="clear"/>
            <w:tcMar>
              <w:left w:w="103" w:type="dxa"/>
            </w:tcMar>
          </w:tcPr>
          <w:p>
            <w:pPr>
              <w:pStyle w:val="Normal"/>
              <w:spacing w:lineRule="auto" w:line="240" w:before="0" w:after="0"/>
              <w:rPr>
                <w:sz w:val="16"/>
                <w:szCs w:val="16"/>
              </w:rPr>
            </w:pPr>
            <w:r>
              <w:rPr>
                <w:sz w:val="16"/>
                <w:szCs w:val="16"/>
              </w:rPr>
              <w:t xml:space="preserve">Bez zmian </w:t>
            </w:r>
          </w:p>
        </w:tc>
        <w:tc>
          <w:tcPr>
            <w:tcW w:w="8079" w:type="dxa"/>
            <w:tcBorders/>
            <w:shd w:fill="auto" w:val="clear"/>
            <w:tcMar>
              <w:left w:w="103" w:type="dxa"/>
            </w:tcMar>
          </w:tcPr>
          <w:p>
            <w:pPr>
              <w:pStyle w:val="Normal"/>
              <w:spacing w:lineRule="auto" w:line="240" w:before="0" w:after="0"/>
              <w:rPr>
                <w:sz w:val="16"/>
                <w:szCs w:val="16"/>
              </w:rPr>
            </w:pPr>
            <w:r>
              <w:rPr>
                <w:sz w:val="16"/>
                <w:szCs w:val="16"/>
              </w:rPr>
              <w:t>Art. 18</w:t>
            </w:r>
          </w:p>
          <w:p>
            <w:pPr>
              <w:pStyle w:val="Normal"/>
              <w:spacing w:lineRule="auto" w:line="240" w:before="0" w:after="0"/>
              <w:rPr>
                <w:sz w:val="16"/>
                <w:szCs w:val="16"/>
              </w:rPr>
            </w:pPr>
            <w:r>
              <w:rPr>
                <w:sz w:val="16"/>
                <w:szCs w:val="16"/>
              </w:rPr>
              <w:t>Sędzią Trybunału może być osoba, która posiada kwalifikacje wymagane do zajmowania stanowiska sędziego Sądu Najwyższego lub Naczelnego Sądu Administracyjnego.</w:t>
            </w:r>
          </w:p>
        </w:tc>
      </w:tr>
      <w:tr>
        <w:trPr/>
        <w:tc>
          <w:tcPr>
            <w:tcW w:w="1271" w:type="dxa"/>
            <w:tcBorders/>
            <w:shd w:fill="auto" w:val="clear"/>
            <w:tcMar>
              <w:left w:w="103" w:type="dxa"/>
            </w:tcMar>
          </w:tcPr>
          <w:p>
            <w:pPr>
              <w:pStyle w:val="Normal"/>
              <w:spacing w:lineRule="auto" w:line="240" w:before="0" w:after="0"/>
              <w:rPr>
                <w:b/>
                <w:b/>
                <w:sz w:val="16"/>
                <w:szCs w:val="16"/>
              </w:rPr>
            </w:pPr>
            <w:r>
              <w:rPr>
                <w:b/>
                <w:color w:val="000000" w:themeColor="text1"/>
                <w:sz w:val="16"/>
                <w:szCs w:val="16"/>
              </w:rPr>
              <w:t>Postanowienia ustaw determinujące kalendarium prac Sejmu w związku z procedurą wyboru</w:t>
            </w:r>
          </w:p>
        </w:tc>
        <w:tc>
          <w:tcPr>
            <w:tcW w:w="1701" w:type="dxa"/>
            <w:tcBorders/>
            <w:shd w:fill="auto" w:val="clear"/>
            <w:tcMar>
              <w:left w:w="103" w:type="dxa"/>
            </w:tcMar>
          </w:tcPr>
          <w:p>
            <w:pPr>
              <w:pStyle w:val="Normal"/>
              <w:spacing w:lineRule="auto" w:line="240" w:before="0" w:after="0"/>
              <w:rPr>
                <w:b/>
                <w:b/>
                <w:sz w:val="16"/>
                <w:szCs w:val="16"/>
              </w:rPr>
            </w:pPr>
            <w:r>
              <w:rPr>
                <w:sz w:val="16"/>
                <w:szCs w:val="16"/>
              </w:rPr>
              <w:t>Art. 30 ust. 3 Regulaminu Sejmu stanowi: Wnioski składa się Marszałkowi Sejmu w terminie:</w:t>
            </w:r>
          </w:p>
          <w:p>
            <w:pPr>
              <w:pStyle w:val="Normal"/>
              <w:spacing w:lineRule="auto" w:line="240" w:before="0" w:after="0"/>
              <w:rPr>
                <w:sz w:val="16"/>
                <w:szCs w:val="16"/>
              </w:rPr>
            </w:pPr>
            <w:r>
              <w:rPr>
                <w:sz w:val="16"/>
                <w:szCs w:val="16"/>
              </w:rPr>
              <w:t>1) 30 dni przed upływem kadencji.</w:t>
            </w:r>
          </w:p>
        </w:tc>
        <w:tc>
          <w:tcPr>
            <w:tcW w:w="1985" w:type="dxa"/>
            <w:tcBorders/>
            <w:shd w:fill="auto" w:val="clear"/>
            <w:tcMar>
              <w:left w:w="103" w:type="dxa"/>
            </w:tcMar>
          </w:tcPr>
          <w:p>
            <w:pPr>
              <w:pStyle w:val="Normal"/>
              <w:spacing w:lineRule="auto" w:line="240" w:before="0" w:after="0"/>
              <w:rPr>
                <w:b/>
                <w:b/>
                <w:sz w:val="16"/>
                <w:szCs w:val="16"/>
              </w:rPr>
            </w:pPr>
            <w:r>
              <w:rPr>
                <w:sz w:val="16"/>
                <w:szCs w:val="16"/>
              </w:rPr>
              <w:t>Art. 19</w:t>
            </w:r>
          </w:p>
          <w:p>
            <w:pPr>
              <w:pStyle w:val="Normal"/>
              <w:spacing w:lineRule="auto" w:line="240" w:before="0" w:after="0"/>
              <w:rPr>
                <w:b/>
                <w:b/>
                <w:sz w:val="16"/>
                <w:szCs w:val="16"/>
              </w:rPr>
            </w:pPr>
            <w:r>
              <w:rPr>
                <w:sz w:val="16"/>
                <w:szCs w:val="16"/>
              </w:rPr>
              <w:t xml:space="preserve">Ust. 2. Wniosek w sprawie zgłoszenia kandydata na sędziego Trybunału składa się do Marszałka Sejmu nie później niż 3 miesiące przed dniem upływu kadencji sędziego Trybunału. </w:t>
            </w:r>
          </w:p>
          <w:p>
            <w:pPr>
              <w:pStyle w:val="Normal"/>
              <w:spacing w:lineRule="auto" w:line="240" w:before="0" w:after="0"/>
              <w:rPr>
                <w:b/>
                <w:b/>
                <w:sz w:val="16"/>
                <w:szCs w:val="16"/>
              </w:rPr>
            </w:pPr>
            <w:r>
              <w:rPr>
                <w:sz w:val="16"/>
                <w:szCs w:val="16"/>
              </w:rPr>
              <w:t xml:space="preserve">Ust. 3. W przypadku wygaśnięcia mandatu sędziego Trybunału przed upływem kadencji, termin na złożenie wniosku, o którym mowa w ust. 2 wynosi 21 dni. </w:t>
            </w:r>
          </w:p>
          <w:p>
            <w:pPr>
              <w:pStyle w:val="Normal"/>
              <w:spacing w:lineRule="auto" w:line="240" w:before="0" w:after="0"/>
              <w:rPr>
                <w:b/>
                <w:b/>
                <w:sz w:val="16"/>
                <w:szCs w:val="16"/>
              </w:rPr>
            </w:pPr>
            <w:r>
              <w:rPr>
                <w:sz w:val="16"/>
                <w:szCs w:val="16"/>
              </w:rPr>
              <w:t xml:space="preserve">Ust. 4. Organ właściwy na podstawie Regulaminu Sejmu wyraża opinię w sprawie wniosku, o którym mowa w ust. 2. </w:t>
            </w:r>
          </w:p>
          <w:p>
            <w:pPr>
              <w:pStyle w:val="Normal"/>
              <w:spacing w:lineRule="auto" w:line="240" w:before="0" w:after="0"/>
              <w:rPr>
                <w:sz w:val="16"/>
                <w:szCs w:val="16"/>
              </w:rPr>
            </w:pPr>
            <w:r>
              <w:rPr>
                <w:sz w:val="16"/>
                <w:szCs w:val="16"/>
              </w:rPr>
              <w:t>Ust. 5. Szczegółowe wymogi dotyczące wniosku oraz tryb postępowania z wnioskiem określa Regulamin Sejmu</w:t>
            </w:r>
          </w:p>
        </w:tc>
        <w:tc>
          <w:tcPr>
            <w:tcW w:w="1701" w:type="dxa"/>
            <w:tcBorders/>
            <w:shd w:fill="auto" w:val="clear"/>
            <w:tcMar>
              <w:left w:w="103" w:type="dxa"/>
            </w:tcMar>
          </w:tcPr>
          <w:p>
            <w:pPr>
              <w:pStyle w:val="Normal"/>
              <w:spacing w:lineRule="auto" w:line="240" w:before="0" w:after="0"/>
              <w:rPr>
                <w:b/>
                <w:b/>
                <w:sz w:val="16"/>
                <w:szCs w:val="16"/>
              </w:rPr>
            </w:pPr>
            <w:r>
              <w:rPr>
                <w:sz w:val="16"/>
                <w:szCs w:val="16"/>
              </w:rPr>
              <w:t>Art. 137</w:t>
            </w:r>
          </w:p>
          <w:p>
            <w:pPr>
              <w:pStyle w:val="Normal"/>
              <w:spacing w:lineRule="auto" w:line="240" w:before="0" w:after="0"/>
              <w:rPr>
                <w:sz w:val="16"/>
                <w:szCs w:val="16"/>
              </w:rPr>
            </w:pPr>
            <w:r>
              <w:rPr>
                <w:sz w:val="16"/>
                <w:szCs w:val="16"/>
              </w:rPr>
              <w:t>W przypadku sędziów Trybunału, których kadencja upływa w roku 2015 termin na złożenie wniosku, o którym mowa w art. 19 ust. 2. Wynosi 30 dni od dnia wejścia w życie ustawy</w:t>
            </w:r>
          </w:p>
        </w:tc>
        <w:tc>
          <w:tcPr>
            <w:tcW w:w="8079" w:type="dxa"/>
            <w:tcBorders/>
            <w:shd w:fill="auto" w:val="clear"/>
            <w:tcMar>
              <w:left w:w="103" w:type="dxa"/>
            </w:tcMar>
          </w:tcPr>
          <w:p>
            <w:pPr>
              <w:pStyle w:val="Normal"/>
              <w:spacing w:lineRule="auto" w:line="240" w:before="0" w:after="0"/>
              <w:rPr>
                <w:sz w:val="16"/>
                <w:szCs w:val="16"/>
              </w:rPr>
            </w:pPr>
            <w:r>
              <w:rPr>
                <w:sz w:val="16"/>
                <w:szCs w:val="16"/>
              </w:rPr>
              <w:t xml:space="preserve">Wniosek w sprawie zgłoszenia kandydata na sędziego Trybunału składa się do Marszałka Sejmu 30 dni przed dniem upływu kadencji sędziego Trybunału – 19 ust. </w:t>
            </w:r>
          </w:p>
          <w:p>
            <w:pPr>
              <w:pStyle w:val="Normal"/>
              <w:spacing w:lineRule="auto" w:line="240" w:before="0" w:after="0"/>
              <w:rPr>
                <w:sz w:val="16"/>
                <w:szCs w:val="16"/>
              </w:rPr>
            </w:pPr>
            <w:r>
              <w:rPr>
                <w:sz w:val="16"/>
                <w:szCs w:val="16"/>
              </w:rPr>
              <w:t>2</w:t>
            </w:r>
          </w:p>
          <w:p>
            <w:pPr>
              <w:pStyle w:val="Normal"/>
              <w:spacing w:lineRule="auto" w:line="240" w:before="0" w:after="0"/>
              <w:rPr>
                <w:sz w:val="16"/>
                <w:szCs w:val="16"/>
              </w:rPr>
            </w:pPr>
            <w:r>
              <w:rPr>
                <w:sz w:val="16"/>
                <w:szCs w:val="16"/>
              </w:rPr>
            </w:r>
          </w:p>
          <w:p>
            <w:pPr>
              <w:pStyle w:val="Normal"/>
              <w:spacing w:lineRule="auto" w:line="240" w:before="0" w:after="0"/>
              <w:rPr>
                <w:sz w:val="16"/>
                <w:szCs w:val="16"/>
              </w:rPr>
            </w:pPr>
            <w:r>
              <w:rPr>
                <w:sz w:val="16"/>
                <w:szCs w:val="16"/>
              </w:rPr>
              <w:t>Uchylono art. 136 i 137 ustawy z 25 czerwca 2015 r.</w:t>
            </w:r>
          </w:p>
        </w:tc>
      </w:tr>
      <w:tr>
        <w:trPr/>
        <w:tc>
          <w:tcPr>
            <w:tcW w:w="1271" w:type="dxa"/>
            <w:tcBorders/>
            <w:shd w:fill="auto" w:val="clear"/>
            <w:tcMar>
              <w:left w:w="103" w:type="dxa"/>
            </w:tcMar>
          </w:tcPr>
          <w:p>
            <w:pPr>
              <w:pStyle w:val="Normal"/>
              <w:spacing w:lineRule="auto" w:line="240" w:before="0" w:after="0"/>
              <w:rPr>
                <w:b/>
                <w:b/>
                <w:color w:val="000000" w:themeColor="text1"/>
                <w:sz w:val="16"/>
                <w:szCs w:val="16"/>
              </w:rPr>
            </w:pPr>
            <w:bookmarkStart w:id="0" w:name="_GoBack"/>
            <w:bookmarkEnd w:id="0"/>
            <w:r>
              <w:rPr>
                <w:b/>
                <w:color w:val="000000" w:themeColor="text1"/>
                <w:sz w:val="16"/>
                <w:szCs w:val="16"/>
              </w:rPr>
              <w:t xml:space="preserve">Treść ślubowania </w:t>
            </w:r>
          </w:p>
        </w:tc>
        <w:tc>
          <w:tcPr>
            <w:tcW w:w="1701" w:type="dxa"/>
            <w:tcBorders/>
            <w:shd w:fill="auto" w:val="clear"/>
            <w:tcMar>
              <w:left w:w="103" w:type="dxa"/>
            </w:tcMar>
          </w:tcPr>
          <w:p>
            <w:pPr>
              <w:pStyle w:val="Normal"/>
              <w:spacing w:lineRule="auto" w:line="240" w:before="0" w:after="0"/>
              <w:rPr>
                <w:sz w:val="16"/>
                <w:szCs w:val="16"/>
              </w:rPr>
            </w:pPr>
            <w:r>
              <w:rPr>
                <w:sz w:val="16"/>
                <w:szCs w:val="16"/>
              </w:rPr>
              <w:t>Art. 5. 5. Osoba wybrana na stanowisko sędziego Trybunału składa wobec Prezydenta</w:t>
            </w:r>
          </w:p>
          <w:p>
            <w:pPr>
              <w:pStyle w:val="Normal"/>
              <w:spacing w:lineRule="auto" w:line="240" w:before="0" w:after="0"/>
              <w:rPr>
                <w:sz w:val="16"/>
                <w:szCs w:val="16"/>
              </w:rPr>
            </w:pPr>
            <w:r>
              <w:rPr>
                <w:sz w:val="16"/>
                <w:szCs w:val="16"/>
              </w:rPr>
              <w:t>Rzeczypospolitej ślubowanie następującej treści:</w:t>
            </w:r>
          </w:p>
          <w:p>
            <w:pPr>
              <w:pStyle w:val="Normal"/>
              <w:spacing w:lineRule="auto" w:line="240" w:before="0" w:after="0"/>
              <w:rPr>
                <w:sz w:val="16"/>
                <w:szCs w:val="16"/>
              </w:rPr>
            </w:pPr>
            <w:r>
              <w:rPr>
                <w:sz w:val="16"/>
                <w:szCs w:val="16"/>
              </w:rPr>
              <w:t>„</w:t>
            </w:r>
            <w:r>
              <w:rPr>
                <w:sz w:val="16"/>
                <w:szCs w:val="16"/>
              </w:rPr>
              <w:t>Ślubuję uroczyście przy wykonywaniu powierzonych mi obowiązków</w:t>
            </w:r>
          </w:p>
          <w:p>
            <w:pPr>
              <w:pStyle w:val="Normal"/>
              <w:spacing w:lineRule="auto" w:line="240" w:before="0" w:after="0"/>
              <w:rPr>
                <w:sz w:val="16"/>
                <w:szCs w:val="16"/>
              </w:rPr>
            </w:pPr>
            <w:r>
              <w:rPr>
                <w:sz w:val="16"/>
                <w:szCs w:val="16"/>
              </w:rPr>
              <w:t>sędziego Trybunału Konstytucyjnego służyć wiernie Narodowi, stać na</w:t>
            </w:r>
          </w:p>
          <w:p>
            <w:pPr>
              <w:pStyle w:val="Normal"/>
              <w:spacing w:lineRule="auto" w:line="240" w:before="0" w:after="0"/>
              <w:rPr>
                <w:sz w:val="16"/>
                <w:szCs w:val="16"/>
              </w:rPr>
            </w:pPr>
            <w:r>
              <w:rPr>
                <w:sz w:val="16"/>
                <w:szCs w:val="16"/>
              </w:rPr>
              <w:t>straży Konstytucji, a powierzone mi obowiązki wypełniać bezstronnie i z</w:t>
            </w:r>
          </w:p>
          <w:p>
            <w:pPr>
              <w:pStyle w:val="Normal"/>
              <w:spacing w:lineRule="auto" w:line="240" w:before="0" w:after="0"/>
              <w:rPr>
                <w:sz w:val="16"/>
                <w:szCs w:val="16"/>
              </w:rPr>
            </w:pPr>
            <w:r>
              <w:rPr>
                <w:sz w:val="16"/>
                <w:szCs w:val="16"/>
              </w:rPr>
              <w:t>najwyższą starannością.”</w:t>
            </w:r>
          </w:p>
          <w:p>
            <w:pPr>
              <w:pStyle w:val="Normal"/>
              <w:spacing w:lineRule="auto" w:line="240" w:before="0" w:after="0"/>
              <w:rPr>
                <w:sz w:val="16"/>
                <w:szCs w:val="16"/>
              </w:rPr>
            </w:pPr>
            <w:r>
              <w:rPr>
                <w:sz w:val="16"/>
                <w:szCs w:val="16"/>
              </w:rPr>
              <w:t>Ślubowanie może być złożone z dodaniem zdania „Tak mi dopomóż Bóg”.</w:t>
            </w:r>
          </w:p>
          <w:p>
            <w:pPr>
              <w:pStyle w:val="Normal"/>
              <w:spacing w:lineRule="auto" w:line="240" w:before="0" w:after="0"/>
              <w:rPr>
                <w:sz w:val="16"/>
                <w:szCs w:val="16"/>
              </w:rPr>
            </w:pPr>
            <w:r>
              <w:rPr>
                <w:sz w:val="16"/>
                <w:szCs w:val="16"/>
              </w:rPr>
              <w:t>6. Odmowa złożenia ślubowania jest równoznaczna ze zrzeczeniem się</w:t>
            </w:r>
          </w:p>
          <w:p>
            <w:pPr>
              <w:pStyle w:val="Normal"/>
              <w:spacing w:lineRule="auto" w:line="240" w:before="0" w:after="0"/>
              <w:rPr>
                <w:sz w:val="16"/>
                <w:szCs w:val="16"/>
              </w:rPr>
            </w:pPr>
            <w:r>
              <w:rPr>
                <w:sz w:val="16"/>
                <w:szCs w:val="16"/>
              </w:rPr>
              <w:t>stanowiska sędziego Trybunału</w:t>
            </w:r>
          </w:p>
        </w:tc>
        <w:tc>
          <w:tcPr>
            <w:tcW w:w="1985" w:type="dxa"/>
            <w:tcBorders/>
            <w:shd w:fill="auto" w:val="clear"/>
            <w:tcMar>
              <w:left w:w="103" w:type="dxa"/>
            </w:tcMar>
          </w:tcPr>
          <w:p>
            <w:pPr>
              <w:pStyle w:val="Normal"/>
              <w:spacing w:lineRule="auto" w:line="240" w:before="0" w:after="0"/>
              <w:rPr>
                <w:sz w:val="16"/>
                <w:szCs w:val="16"/>
              </w:rPr>
            </w:pPr>
            <w:r>
              <w:rPr>
                <w:sz w:val="16"/>
                <w:szCs w:val="16"/>
              </w:rPr>
              <w:t>Art. 21. 1. Osoba wybrana na stanowisko sędziego Trybunału składa wobec Prezydenta Rzeczypospolitej Polskiej</w:t>
            </w:r>
          </w:p>
          <w:p>
            <w:pPr>
              <w:pStyle w:val="Normal"/>
              <w:spacing w:lineRule="auto" w:line="240" w:before="0" w:after="0"/>
              <w:rPr>
                <w:sz w:val="16"/>
                <w:szCs w:val="16"/>
              </w:rPr>
            </w:pPr>
            <w:r>
              <w:rPr>
                <w:sz w:val="16"/>
                <w:szCs w:val="16"/>
              </w:rPr>
              <w:t>ślubowanie następującej treści:</w:t>
            </w:r>
          </w:p>
          <w:p>
            <w:pPr>
              <w:pStyle w:val="Normal"/>
              <w:spacing w:lineRule="auto" w:line="240" w:before="0" w:after="0"/>
              <w:rPr>
                <w:sz w:val="16"/>
                <w:szCs w:val="16"/>
              </w:rPr>
            </w:pPr>
            <w:r>
              <w:rPr>
                <w:sz w:val="16"/>
                <w:szCs w:val="16"/>
              </w:rPr>
              <w:t>„</w:t>
            </w:r>
            <w:r>
              <w:rPr>
                <w:sz w:val="16"/>
                <w:szCs w:val="16"/>
              </w:rPr>
              <w:t>Uroczyście ślubuję, że pełniąc powierzone mi obowiązki sędziego Trybunału Konstytucyjnego będę wiernie</w:t>
            </w:r>
          </w:p>
          <w:p>
            <w:pPr>
              <w:pStyle w:val="Normal"/>
              <w:spacing w:lineRule="auto" w:line="240" w:before="0" w:after="0"/>
              <w:rPr>
                <w:sz w:val="16"/>
                <w:szCs w:val="16"/>
              </w:rPr>
            </w:pPr>
            <w:r>
              <w:rPr>
                <w:sz w:val="16"/>
                <w:szCs w:val="16"/>
              </w:rPr>
              <w:t>służyć Narodowi i stać na straży Konstytucji Rzeczypospolitej Polskiej, czyniąc to bezstronnie, według mego</w:t>
            </w:r>
          </w:p>
          <w:p>
            <w:pPr>
              <w:pStyle w:val="Normal"/>
              <w:spacing w:lineRule="auto" w:line="240" w:before="0" w:after="0"/>
              <w:rPr>
                <w:sz w:val="16"/>
                <w:szCs w:val="16"/>
              </w:rPr>
            </w:pPr>
            <w:r>
              <w:rPr>
                <w:sz w:val="16"/>
                <w:szCs w:val="16"/>
              </w:rPr>
              <w:t>sumienia i z najwyższą starannością, oraz strzegąc godności sprawowanego urzędu.”.</w:t>
            </w:r>
          </w:p>
          <w:p>
            <w:pPr>
              <w:pStyle w:val="Normal"/>
              <w:spacing w:lineRule="auto" w:line="240" w:before="0" w:after="0"/>
              <w:rPr>
                <w:sz w:val="16"/>
                <w:szCs w:val="16"/>
              </w:rPr>
            </w:pPr>
            <w:r>
              <w:rPr>
                <w:sz w:val="16"/>
                <w:szCs w:val="16"/>
              </w:rPr>
              <w:t>Ślubowanie może być złożone z dodaniem zdania „Tak mi dopomóż Bóg.”.</w:t>
            </w:r>
          </w:p>
          <w:p>
            <w:pPr>
              <w:pStyle w:val="Normal"/>
              <w:spacing w:lineRule="auto" w:line="240" w:before="0" w:after="0"/>
              <w:rPr>
                <w:sz w:val="16"/>
                <w:szCs w:val="16"/>
              </w:rPr>
            </w:pPr>
            <w:r>
              <w:rPr>
                <w:sz w:val="16"/>
                <w:szCs w:val="16"/>
              </w:rPr>
              <w:t xml:space="preserve">2. Odmowa złożenia ślubowania jest równoznaczna ze zrzeczeniem się stanowiska sędziego Trybunału. </w:t>
            </w:r>
          </w:p>
        </w:tc>
        <w:tc>
          <w:tcPr>
            <w:tcW w:w="1701" w:type="dxa"/>
            <w:tcBorders/>
            <w:shd w:fill="auto" w:val="clear"/>
            <w:tcMar>
              <w:left w:w="103" w:type="dxa"/>
            </w:tcMar>
          </w:tcPr>
          <w:p>
            <w:pPr>
              <w:pStyle w:val="Normal"/>
              <w:spacing w:lineRule="auto" w:line="240" w:before="0" w:after="0"/>
              <w:rPr>
                <w:sz w:val="16"/>
                <w:szCs w:val="16"/>
              </w:rPr>
            </w:pPr>
            <w:r>
              <w:rPr>
                <w:sz w:val="16"/>
                <w:szCs w:val="16"/>
              </w:rPr>
              <w:t>Bez zmian</w:t>
            </w:r>
          </w:p>
        </w:tc>
        <w:tc>
          <w:tcPr>
            <w:tcW w:w="8079" w:type="dxa"/>
            <w:tcBorders/>
            <w:shd w:fill="auto" w:val="clear"/>
            <w:tcMar>
              <w:left w:w="103" w:type="dxa"/>
            </w:tcMar>
          </w:tcPr>
          <w:p>
            <w:pPr>
              <w:pStyle w:val="Normal"/>
              <w:spacing w:lineRule="auto" w:line="240" w:before="0" w:after="0"/>
              <w:rPr>
                <w:sz w:val="16"/>
                <w:szCs w:val="16"/>
              </w:rPr>
            </w:pPr>
            <w:r>
              <w:rPr>
                <w:sz w:val="16"/>
                <w:szCs w:val="16"/>
              </w:rPr>
              <w:t>Art. 21. 1 otrzymał brzmienie:</w:t>
            </w:r>
          </w:p>
          <w:p>
            <w:pPr>
              <w:pStyle w:val="Normal"/>
              <w:spacing w:lineRule="auto" w:line="240" w:before="0" w:after="0"/>
              <w:rPr>
                <w:sz w:val="16"/>
                <w:szCs w:val="16"/>
              </w:rPr>
            </w:pPr>
            <w:r>
              <w:rPr>
                <w:sz w:val="16"/>
                <w:szCs w:val="16"/>
              </w:rPr>
              <w:t>„</w:t>
            </w:r>
            <w:r>
              <w:rPr>
                <w:sz w:val="16"/>
                <w:szCs w:val="16"/>
              </w:rPr>
              <w:t>1. Osoba wybrana na stanowisko sędziego Trybunału składa wobec Prezydenta Rzeczypospolitej Polskiej,</w:t>
            </w:r>
          </w:p>
          <w:p>
            <w:pPr>
              <w:pStyle w:val="Normal"/>
              <w:spacing w:lineRule="auto" w:line="240" w:before="0" w:after="0"/>
              <w:rPr>
                <w:sz w:val="16"/>
                <w:szCs w:val="16"/>
              </w:rPr>
            </w:pPr>
            <w:r>
              <w:rPr>
                <w:sz w:val="16"/>
                <w:szCs w:val="16"/>
              </w:rPr>
              <w:t>w terminie 30 dni od dnia wyboru, ślubowanie następującej treści:</w:t>
            </w:r>
          </w:p>
          <w:p>
            <w:pPr>
              <w:pStyle w:val="Normal"/>
              <w:spacing w:lineRule="auto" w:line="240" w:before="0" w:after="0"/>
              <w:rPr>
                <w:sz w:val="16"/>
                <w:szCs w:val="16"/>
              </w:rPr>
            </w:pPr>
            <w:r>
              <w:rPr>
                <w:sz w:val="16"/>
                <w:szCs w:val="16"/>
              </w:rPr>
              <w:t>„</w:t>
            </w:r>
            <w:r>
              <w:rPr>
                <w:sz w:val="16"/>
                <w:szCs w:val="16"/>
              </w:rPr>
              <w:t>Uroczyście ślubuję, że pełniąc powierzone mi obowiązki sędziego Trybunału Konstytucyjnego, będę</w:t>
            </w:r>
          </w:p>
          <w:p>
            <w:pPr>
              <w:pStyle w:val="Normal"/>
              <w:spacing w:lineRule="auto" w:line="240" w:before="0" w:after="0"/>
              <w:rPr>
                <w:sz w:val="16"/>
                <w:szCs w:val="16"/>
              </w:rPr>
            </w:pPr>
            <w:r>
              <w:rPr>
                <w:sz w:val="16"/>
                <w:szCs w:val="16"/>
              </w:rPr>
              <w:t>wiernie służyć Narodowi i stać na straży Konstytucji Rzeczypospolitej Polskiej, czyniąc to</w:t>
            </w:r>
          </w:p>
          <w:p>
            <w:pPr>
              <w:pStyle w:val="Normal"/>
              <w:spacing w:lineRule="auto" w:line="240" w:before="0" w:after="0"/>
              <w:rPr>
                <w:sz w:val="16"/>
                <w:szCs w:val="16"/>
              </w:rPr>
            </w:pPr>
            <w:r>
              <w:rPr>
                <w:sz w:val="16"/>
                <w:szCs w:val="16"/>
              </w:rPr>
              <w:t>bezstronnie, według mego sumienia i z najwyższą starannością oraz strzegąc godności sprawowanego</w:t>
            </w:r>
          </w:p>
          <w:p>
            <w:pPr>
              <w:pStyle w:val="Normal"/>
              <w:spacing w:lineRule="auto" w:line="240" w:before="0" w:after="0"/>
              <w:rPr>
                <w:sz w:val="16"/>
                <w:szCs w:val="16"/>
              </w:rPr>
            </w:pPr>
            <w:r>
              <w:rPr>
                <w:sz w:val="16"/>
                <w:szCs w:val="16"/>
              </w:rPr>
              <w:t>urzędu.”.</w:t>
            </w:r>
          </w:p>
          <w:p>
            <w:pPr>
              <w:pStyle w:val="Normal"/>
              <w:spacing w:lineRule="auto" w:line="240" w:before="0" w:after="0"/>
              <w:rPr>
                <w:sz w:val="16"/>
                <w:szCs w:val="16"/>
              </w:rPr>
            </w:pPr>
            <w:r>
              <w:rPr>
                <w:sz w:val="16"/>
                <w:szCs w:val="16"/>
              </w:rPr>
              <w:t>Ślubowanie może być złożone z dodaniem zdania „Tak mi dopomóż Bóg.”.”,</w:t>
            </w:r>
          </w:p>
          <w:p>
            <w:pPr>
              <w:pStyle w:val="Normal"/>
              <w:spacing w:lineRule="auto" w:line="240" w:before="0" w:after="0"/>
              <w:rPr>
                <w:sz w:val="16"/>
                <w:szCs w:val="16"/>
              </w:rPr>
            </w:pPr>
            <w:r>
              <w:rPr>
                <w:sz w:val="16"/>
                <w:szCs w:val="16"/>
              </w:rPr>
              <w:t>b) po ust. 1 dodaje się ust. 1a w brzmieniu:</w:t>
            </w:r>
          </w:p>
          <w:p>
            <w:pPr>
              <w:pStyle w:val="Normal"/>
              <w:spacing w:lineRule="auto" w:line="240" w:before="0" w:after="0"/>
              <w:rPr>
                <w:sz w:val="16"/>
                <w:szCs w:val="16"/>
              </w:rPr>
            </w:pPr>
            <w:r>
              <w:rPr>
                <w:sz w:val="16"/>
                <w:szCs w:val="16"/>
              </w:rPr>
              <w:t>„</w:t>
            </w:r>
            <w:r>
              <w:rPr>
                <w:sz w:val="16"/>
                <w:szCs w:val="16"/>
              </w:rPr>
              <w:t xml:space="preserve">1a. Złożenie ślubowania rozpoczyna bieg kadencji sędziego Trybunału.”; </w:t>
            </w:r>
          </w:p>
        </w:tc>
      </w:tr>
      <w:tr>
        <w:trPr/>
        <w:tc>
          <w:tcPr>
            <w:tcW w:w="1271" w:type="dxa"/>
            <w:tcBorders/>
            <w:shd w:fill="auto" w:val="clear"/>
            <w:tcMar>
              <w:left w:w="103" w:type="dxa"/>
            </w:tcMar>
          </w:tcPr>
          <w:p>
            <w:pPr>
              <w:pStyle w:val="Normal"/>
              <w:spacing w:lineRule="auto" w:line="240" w:before="0" w:after="0"/>
              <w:rPr>
                <w:b/>
                <w:b/>
                <w:color w:val="000000" w:themeColor="text1"/>
                <w:sz w:val="16"/>
                <w:szCs w:val="16"/>
              </w:rPr>
            </w:pPr>
            <w:r>
              <w:rPr>
                <w:b/>
                <w:color w:val="000000" w:themeColor="text1"/>
                <w:sz w:val="16"/>
                <w:szCs w:val="16"/>
              </w:rPr>
              <w:t>Kadencja Prezesa i Wiceprezesa TK</w:t>
            </w:r>
          </w:p>
        </w:tc>
        <w:tc>
          <w:tcPr>
            <w:tcW w:w="1701" w:type="dxa"/>
            <w:tcBorders/>
            <w:shd w:fill="auto" w:val="clear"/>
            <w:tcMar>
              <w:left w:w="103" w:type="dxa"/>
            </w:tcMar>
          </w:tcPr>
          <w:p>
            <w:pPr>
              <w:pStyle w:val="Normal"/>
              <w:spacing w:lineRule="auto" w:line="240" w:before="0" w:after="0"/>
              <w:rPr/>
            </w:pPr>
            <w:r>
              <w:rPr>
                <w:sz w:val="16"/>
                <w:szCs w:val="16"/>
              </w:rPr>
              <w:t>Kadencja powiązana z  momentem powołania oraz indywidualną kadencją sędziego wybranego na to stanowisko</w:t>
            </w:r>
          </w:p>
        </w:tc>
        <w:tc>
          <w:tcPr>
            <w:tcW w:w="1985" w:type="dxa"/>
            <w:tcBorders/>
            <w:shd w:fill="auto" w:val="clear"/>
            <w:tcMar>
              <w:left w:w="103" w:type="dxa"/>
            </w:tcMar>
          </w:tcPr>
          <w:p>
            <w:pPr>
              <w:pStyle w:val="Normal"/>
              <w:spacing w:lineRule="auto" w:line="240" w:before="0" w:after="0"/>
              <w:rPr>
                <w:sz w:val="16"/>
                <w:szCs w:val="16"/>
              </w:rPr>
            </w:pPr>
            <w:r>
              <w:rPr>
                <w:sz w:val="16"/>
                <w:szCs w:val="16"/>
              </w:rPr>
              <w:t>Bez zmian</w:t>
            </w:r>
          </w:p>
        </w:tc>
        <w:tc>
          <w:tcPr>
            <w:tcW w:w="1701" w:type="dxa"/>
            <w:tcBorders/>
            <w:shd w:fill="auto" w:val="clear"/>
            <w:tcMar>
              <w:left w:w="103" w:type="dxa"/>
            </w:tcMar>
          </w:tcPr>
          <w:p>
            <w:pPr>
              <w:pStyle w:val="Normal"/>
              <w:spacing w:lineRule="auto" w:line="240" w:before="0" w:after="0"/>
              <w:rPr>
                <w:sz w:val="16"/>
                <w:szCs w:val="16"/>
              </w:rPr>
            </w:pPr>
            <w:r>
              <w:rPr>
                <w:sz w:val="16"/>
                <w:szCs w:val="16"/>
              </w:rPr>
              <w:t>Bez zmian</w:t>
            </w:r>
          </w:p>
        </w:tc>
        <w:tc>
          <w:tcPr>
            <w:tcW w:w="8079" w:type="dxa"/>
            <w:tcBorders/>
            <w:shd w:fill="auto" w:val="clear"/>
            <w:tcMar>
              <w:left w:w="103" w:type="dxa"/>
            </w:tcMar>
          </w:tcPr>
          <w:p>
            <w:pPr>
              <w:pStyle w:val="Normal"/>
              <w:spacing w:lineRule="auto" w:line="240" w:before="0" w:after="0"/>
              <w:rPr>
                <w:sz w:val="16"/>
                <w:szCs w:val="16"/>
              </w:rPr>
            </w:pPr>
            <w:r>
              <w:rPr>
                <w:sz w:val="16"/>
                <w:szCs w:val="16"/>
              </w:rPr>
              <w:t>Wprowadzono:</w:t>
            </w:r>
          </w:p>
          <w:p>
            <w:pPr>
              <w:pStyle w:val="Normal"/>
              <w:spacing w:lineRule="auto" w:line="240" w:before="0" w:after="0"/>
              <w:rPr>
                <w:sz w:val="16"/>
                <w:szCs w:val="16"/>
              </w:rPr>
            </w:pPr>
            <w:r>
              <w:rPr>
                <w:sz w:val="16"/>
                <w:szCs w:val="16"/>
              </w:rPr>
              <w:t xml:space="preserve">Art. 2: </w:t>
            </w:r>
          </w:p>
          <w:p>
            <w:pPr>
              <w:pStyle w:val="Normal"/>
              <w:spacing w:lineRule="auto" w:line="240" w:before="0" w:after="0"/>
              <w:rPr>
                <w:sz w:val="16"/>
                <w:szCs w:val="16"/>
              </w:rPr>
            </w:pPr>
            <w:r>
              <w:rPr>
                <w:sz w:val="16"/>
                <w:szCs w:val="16"/>
              </w:rPr>
              <w:t>„</w:t>
            </w:r>
            <w:r>
              <w:rPr>
                <w:sz w:val="16"/>
                <w:szCs w:val="16"/>
              </w:rPr>
              <w:t xml:space="preserve">Kadencja dotychczasowego Prezesa i Wiceprezesa Trybunału Konstytucyjnego wygasa po upływie trzech miesięcy od dnia wejścia w życie ustawy.” </w:t>
            </w:r>
          </w:p>
          <w:p>
            <w:pPr>
              <w:pStyle w:val="Normal"/>
              <w:spacing w:lineRule="auto" w:line="240" w:before="0" w:after="0"/>
              <w:rPr>
                <w:sz w:val="16"/>
                <w:szCs w:val="16"/>
              </w:rPr>
            </w:pPr>
            <w:r>
              <w:rPr>
                <w:sz w:val="16"/>
                <w:szCs w:val="16"/>
              </w:rPr>
              <w:t>(Ustawa wchodzi w życie 5 grudnia 2015 r.)</w:t>
            </w:r>
          </w:p>
        </w:tc>
      </w:tr>
      <w:tr>
        <w:trPr/>
        <w:tc>
          <w:tcPr>
            <w:tcW w:w="1271" w:type="dxa"/>
            <w:tcBorders/>
            <w:shd w:fill="auto" w:val="clear"/>
            <w:tcMar>
              <w:left w:w="103" w:type="dxa"/>
            </w:tcMar>
          </w:tcPr>
          <w:p>
            <w:pPr>
              <w:pStyle w:val="Normal"/>
              <w:spacing w:lineRule="auto" w:line="240" w:before="0" w:after="0"/>
              <w:rPr>
                <w:b/>
                <w:b/>
                <w:color w:val="000000" w:themeColor="text1"/>
                <w:sz w:val="16"/>
                <w:szCs w:val="16"/>
              </w:rPr>
            </w:pPr>
            <w:r>
              <w:rPr>
                <w:b/>
                <w:color w:val="000000" w:themeColor="text1"/>
                <w:sz w:val="16"/>
                <w:szCs w:val="16"/>
              </w:rPr>
              <w:t>Wybór Prezesa i Wiceprezesa TK</w:t>
            </w:r>
          </w:p>
        </w:tc>
        <w:tc>
          <w:tcPr>
            <w:tcW w:w="1701" w:type="dxa"/>
            <w:tcBorders/>
            <w:shd w:fill="auto" w:val="clear"/>
            <w:tcMar>
              <w:left w:w="103" w:type="dxa"/>
            </w:tcMar>
          </w:tcPr>
          <w:p>
            <w:pPr>
              <w:pStyle w:val="Normal"/>
              <w:spacing w:lineRule="auto" w:line="240" w:before="0" w:after="0"/>
              <w:rPr>
                <w:sz w:val="16"/>
                <w:szCs w:val="16"/>
              </w:rPr>
            </w:pPr>
            <w:r>
              <w:rPr>
                <w:sz w:val="16"/>
                <w:szCs w:val="16"/>
              </w:rPr>
              <w:t>Art. 15. 1. Prezesa i wiceprezesa Trybunału powołuje Prezydent</w:t>
            </w:r>
          </w:p>
          <w:p>
            <w:pPr>
              <w:pStyle w:val="Normal"/>
              <w:spacing w:lineRule="auto" w:line="240" w:before="0" w:after="0"/>
              <w:rPr>
                <w:sz w:val="16"/>
                <w:szCs w:val="16"/>
              </w:rPr>
            </w:pPr>
            <w:r>
              <w:rPr>
                <w:sz w:val="16"/>
                <w:szCs w:val="16"/>
              </w:rPr>
              <w:t>Rzeczypospolitej spośród dwóch kandydatów przedstawionych na każde stanowisko</w:t>
            </w:r>
          </w:p>
          <w:p>
            <w:pPr>
              <w:pStyle w:val="Normal"/>
              <w:spacing w:lineRule="auto" w:line="240" w:before="0" w:after="0"/>
              <w:rPr>
                <w:sz w:val="16"/>
                <w:szCs w:val="16"/>
              </w:rPr>
            </w:pPr>
            <w:r>
              <w:rPr>
                <w:sz w:val="16"/>
                <w:szCs w:val="16"/>
              </w:rPr>
              <w:t>przez Zgromadzenie Ogólne.</w:t>
            </w:r>
          </w:p>
          <w:p>
            <w:pPr>
              <w:pStyle w:val="Normal"/>
              <w:spacing w:lineRule="auto" w:line="240" w:before="0" w:after="0"/>
              <w:rPr>
                <w:sz w:val="16"/>
                <w:szCs w:val="16"/>
              </w:rPr>
            </w:pPr>
            <w:r>
              <w:rPr>
                <w:sz w:val="16"/>
                <w:szCs w:val="16"/>
              </w:rPr>
              <w:t>2. Kandydatów na stanowisko prezesa lub wiceprezesa Trybunału wybiera</w:t>
            </w:r>
          </w:p>
          <w:p>
            <w:pPr>
              <w:pStyle w:val="Normal"/>
              <w:spacing w:lineRule="auto" w:line="240" w:before="0" w:after="0"/>
              <w:rPr>
                <w:sz w:val="16"/>
                <w:szCs w:val="16"/>
              </w:rPr>
            </w:pPr>
            <w:r>
              <w:rPr>
                <w:sz w:val="16"/>
                <w:szCs w:val="16"/>
              </w:rPr>
              <w:t>Zgromadzenie Ogólne spośród sędziów Trybunału, którzy w głosowaniu tajnym</w:t>
            </w:r>
          </w:p>
          <w:p>
            <w:pPr>
              <w:pStyle w:val="Normal"/>
              <w:spacing w:lineRule="auto" w:line="240" w:before="0" w:after="0"/>
              <w:rPr>
                <w:sz w:val="16"/>
                <w:szCs w:val="16"/>
              </w:rPr>
            </w:pPr>
            <w:r>
              <w:rPr>
                <w:sz w:val="16"/>
                <w:szCs w:val="16"/>
              </w:rPr>
              <w:t>uzyskali kolejno największą liczbę głosów. Wybór powinien być dokonany nie</w:t>
            </w:r>
          </w:p>
          <w:p>
            <w:pPr>
              <w:pStyle w:val="Normal"/>
              <w:spacing w:lineRule="auto" w:line="240" w:before="0" w:after="0"/>
              <w:rPr>
                <w:sz w:val="16"/>
                <w:szCs w:val="16"/>
              </w:rPr>
            </w:pPr>
            <w:r>
              <w:rPr>
                <w:sz w:val="16"/>
                <w:szCs w:val="16"/>
              </w:rPr>
              <w:t>później niż trzy miesiące przed upływem kadencji urzędującego prezesa lub</w:t>
            </w:r>
          </w:p>
          <w:p>
            <w:pPr>
              <w:pStyle w:val="Normal"/>
              <w:spacing w:lineRule="auto" w:line="240" w:before="0" w:after="0"/>
              <w:rPr>
                <w:sz w:val="16"/>
                <w:szCs w:val="16"/>
              </w:rPr>
            </w:pPr>
            <w:r>
              <w:rPr>
                <w:sz w:val="16"/>
                <w:szCs w:val="16"/>
              </w:rPr>
              <w:t>wiceprezesa. W przypadku opróżnienia stanowiska prezesa lub wiceprezesa</w:t>
            </w:r>
          </w:p>
          <w:p>
            <w:pPr>
              <w:pStyle w:val="Normal"/>
              <w:spacing w:lineRule="auto" w:line="240" w:before="0" w:after="0"/>
              <w:rPr>
                <w:sz w:val="16"/>
                <w:szCs w:val="16"/>
              </w:rPr>
            </w:pPr>
            <w:r>
              <w:rPr>
                <w:sz w:val="16"/>
                <w:szCs w:val="16"/>
              </w:rPr>
              <w:t>Trybunału wyboru kandydatów dokonuje się w terminie jednego miesiąca.</w:t>
            </w:r>
          </w:p>
        </w:tc>
        <w:tc>
          <w:tcPr>
            <w:tcW w:w="1985" w:type="dxa"/>
            <w:tcBorders/>
            <w:shd w:fill="auto" w:val="clear"/>
            <w:tcMar>
              <w:left w:w="103" w:type="dxa"/>
            </w:tcMar>
          </w:tcPr>
          <w:p>
            <w:pPr>
              <w:pStyle w:val="Normal"/>
              <w:spacing w:lineRule="auto" w:line="240" w:before="0" w:after="0"/>
              <w:rPr>
                <w:sz w:val="16"/>
                <w:szCs w:val="16"/>
              </w:rPr>
            </w:pPr>
            <w:r>
              <w:rPr>
                <w:sz w:val="16"/>
                <w:szCs w:val="16"/>
              </w:rPr>
              <w:t>Art. 12. 1. Prezesa Trybunału powołuje Prezydent Rzeczypospolitej Polskiej spośród dwóch kandydatów przedstawionych</w:t>
            </w:r>
          </w:p>
          <w:p>
            <w:pPr>
              <w:pStyle w:val="Normal"/>
              <w:spacing w:lineRule="auto" w:line="240" w:before="0" w:after="0"/>
              <w:rPr>
                <w:sz w:val="16"/>
                <w:szCs w:val="16"/>
              </w:rPr>
            </w:pPr>
            <w:r>
              <w:rPr>
                <w:sz w:val="16"/>
                <w:szCs w:val="16"/>
              </w:rPr>
              <w:t>przez Zgromadzenie Ogólne.</w:t>
            </w:r>
          </w:p>
          <w:p>
            <w:pPr>
              <w:pStyle w:val="Normal"/>
              <w:spacing w:lineRule="auto" w:line="240" w:before="0" w:after="0"/>
              <w:rPr>
                <w:sz w:val="16"/>
                <w:szCs w:val="16"/>
              </w:rPr>
            </w:pPr>
            <w:r>
              <w:rPr>
                <w:sz w:val="16"/>
                <w:szCs w:val="16"/>
              </w:rPr>
              <w:t>2. Kandydatów na stanowisko Prezesa Trybunału wybiera Zgromadzenie Ogólne, nie później niż 3 miesiące przed</w:t>
            </w:r>
          </w:p>
          <w:p>
            <w:pPr>
              <w:pStyle w:val="Normal"/>
              <w:spacing w:lineRule="auto" w:line="240" w:before="0" w:after="0"/>
              <w:rPr>
                <w:sz w:val="16"/>
                <w:szCs w:val="16"/>
              </w:rPr>
            </w:pPr>
            <w:r>
              <w:rPr>
                <w:sz w:val="16"/>
                <w:szCs w:val="16"/>
              </w:rPr>
              <w:t>dniem upływu kadencji Prezesa Trybunału, spośród sędziów Trybunału, którzy w głosowaniu uzyskali kolejno największą</w:t>
            </w:r>
          </w:p>
          <w:p>
            <w:pPr>
              <w:pStyle w:val="Normal"/>
              <w:spacing w:lineRule="auto" w:line="240" w:before="0" w:after="0"/>
              <w:rPr>
                <w:sz w:val="16"/>
                <w:szCs w:val="16"/>
              </w:rPr>
            </w:pPr>
            <w:r>
              <w:rPr>
                <w:sz w:val="16"/>
                <w:szCs w:val="16"/>
              </w:rPr>
              <w:t xml:space="preserve">liczbę głosów. W razie opróżnienia stanowiska Prezesa Trybunału, wyboru kandydatów dokonuje się w terminie 30 dni. </w:t>
            </w:r>
          </w:p>
        </w:tc>
        <w:tc>
          <w:tcPr>
            <w:tcW w:w="1701" w:type="dxa"/>
            <w:tcBorders/>
            <w:shd w:fill="auto" w:val="clear"/>
            <w:tcMar>
              <w:left w:w="103" w:type="dxa"/>
            </w:tcMar>
          </w:tcPr>
          <w:p>
            <w:pPr>
              <w:pStyle w:val="Normal"/>
              <w:spacing w:lineRule="auto" w:line="240" w:before="0" w:after="0"/>
              <w:rPr>
                <w:sz w:val="16"/>
                <w:szCs w:val="16"/>
              </w:rPr>
            </w:pPr>
            <w:r>
              <w:rPr>
                <w:sz w:val="16"/>
                <w:szCs w:val="16"/>
              </w:rPr>
              <w:t>Bez zmian</w:t>
            </w:r>
          </w:p>
        </w:tc>
        <w:tc>
          <w:tcPr>
            <w:tcW w:w="8079" w:type="dxa"/>
            <w:tcBorders/>
            <w:shd w:fill="auto" w:val="clear"/>
            <w:tcMar>
              <w:left w:w="103" w:type="dxa"/>
            </w:tcMar>
          </w:tcPr>
          <w:p>
            <w:pPr>
              <w:pStyle w:val="Normal"/>
              <w:spacing w:lineRule="auto" w:line="240" w:before="0" w:after="0"/>
              <w:rPr>
                <w:sz w:val="16"/>
                <w:szCs w:val="16"/>
              </w:rPr>
            </w:pPr>
            <w:r>
              <w:rPr>
                <w:sz w:val="16"/>
                <w:szCs w:val="16"/>
              </w:rPr>
              <w:t>Art. 12. 1 i 2 otrzymały brzmienie:</w:t>
            </w:r>
          </w:p>
          <w:p>
            <w:pPr>
              <w:pStyle w:val="Normal"/>
              <w:spacing w:lineRule="auto" w:line="240" w:before="0" w:after="0"/>
              <w:rPr>
                <w:sz w:val="16"/>
                <w:szCs w:val="16"/>
              </w:rPr>
            </w:pPr>
            <w:r>
              <w:rPr>
                <w:sz w:val="16"/>
                <w:szCs w:val="16"/>
              </w:rPr>
              <w:t>„</w:t>
            </w:r>
            <w:r>
              <w:rPr>
                <w:sz w:val="16"/>
                <w:szCs w:val="16"/>
              </w:rPr>
              <w:t>1. Prezesa Trybunału powołuje Prezydent Rzeczypospolitej Polskiej spośród co najmniej trzech kandydatów</w:t>
            </w:r>
          </w:p>
          <w:p>
            <w:pPr>
              <w:pStyle w:val="Normal"/>
              <w:spacing w:lineRule="auto" w:line="240" w:before="0" w:after="0"/>
              <w:rPr>
                <w:sz w:val="16"/>
                <w:szCs w:val="16"/>
              </w:rPr>
            </w:pPr>
            <w:r>
              <w:rPr>
                <w:sz w:val="16"/>
                <w:szCs w:val="16"/>
              </w:rPr>
              <w:t>przedstawionych przez Zgromadzenie Ogólne na okres trzech lat. Na stanowisko Prezesa Trybunału można być powołanym</w:t>
            </w:r>
          </w:p>
          <w:p>
            <w:pPr>
              <w:pStyle w:val="Normal"/>
              <w:spacing w:lineRule="auto" w:line="240" w:before="0" w:after="0"/>
              <w:rPr>
                <w:sz w:val="16"/>
                <w:szCs w:val="16"/>
              </w:rPr>
            </w:pPr>
            <w:r>
              <w:rPr>
                <w:sz w:val="16"/>
                <w:szCs w:val="16"/>
              </w:rPr>
              <w:t>dwukrotnie.</w:t>
            </w:r>
          </w:p>
          <w:p>
            <w:pPr>
              <w:pStyle w:val="Normal"/>
              <w:spacing w:lineRule="auto" w:line="240" w:before="0" w:after="0"/>
              <w:rPr>
                <w:sz w:val="16"/>
                <w:szCs w:val="16"/>
              </w:rPr>
            </w:pPr>
            <w:r>
              <w:rPr>
                <w:sz w:val="16"/>
                <w:szCs w:val="16"/>
              </w:rPr>
              <w:t>2. Kandydatów na stanowisko Prezesa Trybunału wybiera Zgromadzenie Ogólne w ostatnim miesiącu kadencji</w:t>
            </w:r>
          </w:p>
          <w:p>
            <w:pPr>
              <w:pStyle w:val="Normal"/>
              <w:spacing w:lineRule="auto" w:line="240" w:before="0" w:after="0"/>
              <w:rPr>
                <w:sz w:val="16"/>
                <w:szCs w:val="16"/>
              </w:rPr>
            </w:pPr>
            <w:r>
              <w:rPr>
                <w:sz w:val="16"/>
                <w:szCs w:val="16"/>
              </w:rPr>
              <w:t>Prezesa Trybunału spośród sędziów Trybunału, którzy w głosowaniu uzyskali kolejno największą liczbę głosów.</w:t>
            </w:r>
          </w:p>
          <w:p>
            <w:pPr>
              <w:pStyle w:val="Normal"/>
              <w:spacing w:lineRule="auto" w:line="240" w:before="0" w:after="0"/>
              <w:rPr>
                <w:sz w:val="16"/>
                <w:szCs w:val="16"/>
              </w:rPr>
            </w:pPr>
            <w:r>
              <w:rPr>
                <w:sz w:val="16"/>
                <w:szCs w:val="16"/>
              </w:rPr>
              <w:t xml:space="preserve">W razie opróżnienia stanowiska Prezesa Trybunału wyboru kandydatów dokonuje się w terminie 21 dni.”; </w:t>
            </w:r>
          </w:p>
        </w:tc>
      </w:tr>
    </w:tbl>
    <w:p>
      <w:pPr>
        <w:pStyle w:val="Normal"/>
        <w:spacing w:lineRule="auto" w:line="240" w:before="0" w:after="160"/>
        <w:rPr/>
      </w:pPr>
      <w:r>
        <w:rPr/>
      </w:r>
    </w:p>
    <w:sectPr>
      <w:headerReference w:type="default" r:id="rId2"/>
      <w:footnotePr>
        <w:numFmt w:val="decimal"/>
      </w:footnotePr>
      <w:type w:val="nextPage"/>
      <w:pgSz w:orient="landscape" w:w="16838" w:h="11906"/>
      <w:pgMar w:left="1417" w:right="1417" w:header="708"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Calibri">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sz w:val="14"/>
          <w:szCs w:val="14"/>
        </w:rPr>
      </w:pPr>
      <w:r>
        <w:rPr>
          <w:rStyle w:val="Footnotereference"/>
          <w:sz w:val="14"/>
          <w:szCs w:val="14"/>
        </w:rPr>
        <w:footnoteRef/>
        <w:tab/>
      </w:r>
      <w:r>
        <w:rPr>
          <w:sz w:val="14"/>
          <w:szCs w:val="14"/>
        </w:rPr>
        <w:t xml:space="preserve"> </w:t>
      </w:r>
      <w:r>
        <w:rPr>
          <w:sz w:val="14"/>
          <w:szCs w:val="14"/>
        </w:rPr>
        <w:t>Kwalifikacje do zajmowania stanowiska sędziego SN:  Art. 22. § 1. Do pełnienia urzędu na stanowisku sędziego Sądu Najwyższego może być powołany ten, kto:</w:t>
      </w:r>
    </w:p>
    <w:p>
      <w:pPr>
        <w:pStyle w:val="Footnotetext"/>
        <w:rPr>
          <w:sz w:val="14"/>
          <w:szCs w:val="14"/>
        </w:rPr>
      </w:pPr>
      <w:r>
        <w:rPr>
          <w:sz w:val="14"/>
          <w:szCs w:val="14"/>
        </w:rPr>
        <w:tab/>
        <w:t>1) ma obywatelstwo polskie i korzysta z pełni praw cywilnych i publicznych;</w:t>
      </w:r>
    </w:p>
    <w:p>
      <w:pPr>
        <w:pStyle w:val="Footnotetext"/>
        <w:rPr>
          <w:sz w:val="14"/>
          <w:szCs w:val="14"/>
        </w:rPr>
      </w:pPr>
      <w:r>
        <w:rPr>
          <w:sz w:val="14"/>
          <w:szCs w:val="14"/>
        </w:rPr>
        <w:tab/>
        <w:t>2) jest nieskazitelnego charakteru;</w:t>
      </w:r>
    </w:p>
    <w:p>
      <w:pPr>
        <w:pStyle w:val="Footnotetext"/>
        <w:rPr>
          <w:sz w:val="14"/>
          <w:szCs w:val="14"/>
        </w:rPr>
      </w:pPr>
      <w:r>
        <w:rPr>
          <w:sz w:val="14"/>
          <w:szCs w:val="14"/>
        </w:rPr>
        <w:tab/>
        <w:t>3) ukończył wyższe studia prawnicze w Polsce i uzyskał tytuł magistra lub zagraniczne uznane w Polsce;</w:t>
      </w:r>
    </w:p>
    <w:p>
      <w:pPr>
        <w:pStyle w:val="Footnotetext"/>
        <w:rPr>
          <w:sz w:val="14"/>
          <w:szCs w:val="14"/>
        </w:rPr>
      </w:pPr>
      <w:r>
        <w:rPr>
          <w:sz w:val="14"/>
          <w:szCs w:val="14"/>
        </w:rPr>
        <w:tab/>
        <w:t>4) wyróżnia się wysokim poziomem wiedzy prawniczej;</w:t>
      </w:r>
    </w:p>
    <w:p>
      <w:pPr>
        <w:pStyle w:val="Footnotetext"/>
        <w:rPr>
          <w:sz w:val="14"/>
          <w:szCs w:val="14"/>
        </w:rPr>
      </w:pPr>
      <w:r>
        <w:rPr>
          <w:sz w:val="14"/>
          <w:szCs w:val="14"/>
        </w:rPr>
        <w:tab/>
        <w:t>5) jest zdolny, ze względu na stan zdrowia, do pełnienia obowiązków sędziego;</w:t>
      </w:r>
    </w:p>
    <w:p>
      <w:pPr>
        <w:pStyle w:val="Footnotetext"/>
        <w:rPr>
          <w:sz w:val="14"/>
          <w:szCs w:val="14"/>
        </w:rPr>
      </w:pPr>
      <w:r>
        <w:rPr>
          <w:sz w:val="14"/>
          <w:szCs w:val="14"/>
        </w:rPr>
        <w:tab/>
        <w:t>6) ma co najmniej dziesięcioletni staż pracy na stanowisku sędziego, prokuratora, prezesa, wiceprezesa, starszego radcy lub radcy Prokuratorii Generalnej Skarbu Państwa albo wykonywania w Polsce zawodu adwokata, radcy prawnego lub notariusza.</w:t>
      </w:r>
    </w:p>
    <w:p>
      <w:pPr>
        <w:pStyle w:val="Footnotetext"/>
        <w:rPr/>
      </w:pPr>
      <w:r>
        <w:rPr>
          <w:sz w:val="14"/>
          <w:szCs w:val="14"/>
        </w:rPr>
        <w:tab/>
        <w:t>§ 2. Wymagania, o których mowa w § 1 pkt 6, nie dotyczą osoby, która pracowała w polskiej szkole wyższej, w Polskiej Akademii Nauk, w instytucie naukowo-badawczym lub innej placówce naukowej, mając tytuł naukowy profesora albo stopień naukowy doktora habilitowanego nauk prawnych.</w:t>
      </w:r>
    </w:p>
  </w:footnote>
  <w:footnote w:id="3">
    <w:p>
      <w:pPr>
        <w:pStyle w:val="Footnotetext"/>
        <w:rPr>
          <w:rFonts w:ascii="Calibri" w:hAnsi="Calibri"/>
          <w:b/>
          <w:b/>
          <w:strike w:val="false"/>
          <w:dstrike w:val="false"/>
          <w:sz w:val="14"/>
          <w:szCs w:val="14"/>
          <w:u w:val="none"/>
        </w:rPr>
      </w:pPr>
      <w:r>
        <w:rPr>
          <w:rStyle w:val="Footnotereference"/>
          <w:sz w:val="14"/>
          <w:szCs w:val="14"/>
        </w:rPr>
        <w:footnoteRef/>
        <w:tab/>
      </w:r>
      <w:r>
        <w:rPr>
          <w:sz w:val="14"/>
          <w:szCs w:val="14"/>
        </w:rPr>
        <w:t xml:space="preserve"> </w:t>
      </w:r>
      <w:r>
        <w:rPr>
          <w:sz w:val="14"/>
          <w:szCs w:val="14"/>
        </w:rPr>
        <w:t>Kwalifikacje do zajmowania stanowiska sędziego NSA:</w:t>
      </w:r>
    </w:p>
    <w:p>
      <w:pPr>
        <w:pStyle w:val="Default"/>
        <w:rPr>
          <w:rFonts w:ascii="Calibri" w:hAnsi="Calibri"/>
          <w:sz w:val="14"/>
          <w:szCs w:val="14"/>
        </w:rPr>
      </w:pPr>
      <w:r>
        <w:rPr>
          <w:rFonts w:ascii="Calibri" w:hAnsi="Calibri"/>
          <w:b/>
          <w:sz w:val="14"/>
          <w:szCs w:val="14"/>
        </w:rPr>
        <w:tab/>
        <w:t xml:space="preserve">Art. 7. </w:t>
      </w:r>
      <w:r>
        <w:rPr>
          <w:rFonts w:ascii="Calibri" w:hAnsi="Calibri"/>
          <w:b w:val="false"/>
          <w:sz w:val="14"/>
          <w:szCs w:val="14"/>
        </w:rPr>
        <w:t xml:space="preserve">§ 1. Do pełnienia urzędu na stanowisku sędziego Naczelnego Sądu Administracyjnego może być powołany ten, kto spełnia wymagania określone w art. 6 § 1 pkt 1–4 i 6, </w:t>
      </w:r>
      <w:r>
        <w:rPr>
          <w:rFonts w:ascii="Calibri" w:hAnsi="Calibri"/>
          <w:b w:val="false"/>
          <w:sz w:val="14"/>
          <w:szCs w:val="14"/>
        </w:rPr>
        <w:t>(</w:t>
      </w:r>
      <w:r>
        <w:rPr>
          <w:rFonts w:ascii="Calibri" w:hAnsi="Calibri"/>
          <w:b w:val="false"/>
          <w:strike w:val="false"/>
          <w:dstrike w:val="false"/>
          <w:sz w:val="14"/>
          <w:szCs w:val="14"/>
          <w:u w:val="none"/>
        </w:rPr>
        <w:t>ma obywatelstwo polskie i korzysta z pełni praw cywilnych i obywatelskich; jest nieskazitelnego charakteru; ukończył wyższe studia prawnicze w Polsce i uzyskał tytuł magistra lub zagraniczne uznane w Polsce; jest zdolny, ze względu na stan zdrowia, do pełnienia obowiązków sędziego; wyróżnia się wysokim poziomem wiedzy w dziedzinie administracji publicznej oraz prawa administracyjnego i innych dziedzin prawa związanych z działaniem organów administracji publicznej</w:t>
      </w:r>
      <w:r>
        <w:rPr>
          <w:rFonts w:ascii="Calibri" w:hAnsi="Calibri"/>
          <w:b w:val="false"/>
          <w:strike w:val="false"/>
          <w:dstrike w:val="false"/>
          <w:sz w:val="14"/>
          <w:szCs w:val="14"/>
          <w:u w:val="none"/>
        </w:rPr>
        <w:t>)</w:t>
      </w:r>
      <w:r>
        <w:rPr>
          <w:rFonts w:ascii="Calibri" w:hAnsi="Calibri"/>
          <w:b w:val="false"/>
          <w:strike w:val="false"/>
          <w:dstrike w:val="false"/>
          <w:sz w:val="14"/>
          <w:szCs w:val="14"/>
          <w:u w:val="none"/>
        </w:rPr>
        <w:t xml:space="preserve">; </w:t>
      </w:r>
      <w:r>
        <w:rPr>
          <w:rFonts w:ascii="Calibri" w:hAnsi="Calibri"/>
          <w:b w:val="false"/>
          <w:sz w:val="14"/>
          <w:szCs w:val="14"/>
        </w:rPr>
        <w:t>jeżeli ukończył 40 lat oraz pozostawał co najmniej dziesięć lat na stanowisku sędziego, prokuratora, prezesa, wiceprezesa, starszego radcy lub radcy w Prokuratorii Generalnej Skarbu Państwa albo przynajmniej przez dziesięć lat wykonywał zawód adwokata, radcy prawnego lub notariusza. Wymaganie ukończenia 40 lat nie dotyczy sędziego, który co najmniej przez trzy lata pozostawał na stanowisku sędziego wojewódzkiego sądu administracyjnego.</w:t>
      </w:r>
    </w:p>
    <w:p>
      <w:pPr>
        <w:pStyle w:val="Default"/>
        <w:rPr>
          <w:b/>
          <w:b/>
          <w:strike w:val="false"/>
          <w:dstrike w:val="false"/>
          <w:u w:val="none"/>
        </w:rPr>
      </w:pPr>
      <w:r>
        <w:rPr>
          <w:rFonts w:ascii="Calibri" w:hAnsi="Calibri"/>
          <w:sz w:val="14"/>
          <w:szCs w:val="14"/>
        </w:rPr>
      </w:r>
    </w:p>
    <w:p>
      <w:pPr>
        <w:pStyle w:val="Normal"/>
        <w:rPr>
          <w:rFonts w:ascii="Calibri" w:hAnsi="Calibri"/>
          <w:b w:val="false"/>
          <w:b w:val="false"/>
          <w:strike w:val="false"/>
          <w:dstrike w:val="false"/>
          <w:sz w:val="14"/>
          <w:szCs w:val="14"/>
          <w:u w:val="none"/>
        </w:rPr>
      </w:pPr>
      <w:r>
        <w:rPr>
          <w:rFonts w:ascii="Calibri" w:hAnsi="Calibri"/>
          <w:b w:val="false"/>
          <w:strike w:val="false"/>
          <w:dstrike w:val="false"/>
          <w:sz w:val="14"/>
          <w:szCs w:val="14"/>
          <w:u w:val="none"/>
        </w:rPr>
      </w:r>
    </w:p>
    <w:p>
      <w:pPr>
        <w:pStyle w:val="Normal"/>
        <w:spacing w:before="0" w:after="160"/>
        <w:rPr>
          <w:sz w:val="14"/>
          <w:szCs w:val="14"/>
        </w:rPr>
      </w:pPr>
      <w:r>
        <w:rPr>
          <w:rFonts w:ascii="Calibri" w:hAnsi="Calibri"/>
          <w:sz w:val="14"/>
          <w:szCs w:val="14"/>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b/>
        <w:b/>
        <w:sz w:val="16"/>
        <w:szCs w:val="16"/>
      </w:rPr>
    </w:pPr>
    <w:r>
      <w:rPr>
        <w:b/>
        <w:sz w:val="16"/>
        <w:szCs w:val="16"/>
      </w:rPr>
      <w:t>Stan prawny pod rządami poszczególnych ustaw: Ustawy z dnia 1 sierpnia 1997 r. o Trybunale Konstytucyjnym, Ustawy z dnia 25 czerwca 2015 r. o Trybunale Konstytucyjnym (z rozróżnieniem przepisów przejściowych) oraz ustawy z dnia 19 listopada 2015 r. o zmianie ustawy o Trybunale Konstytucyjnym – z uwzględnieniem przepisów Regulaminu Sejmu.</w:t>
    </w:r>
  </w:p>
  <w:p>
    <w:pPr>
      <w:pStyle w:val="Gwka"/>
      <w:rPr>
        <w:b/>
        <w:b/>
        <w:sz w:val="16"/>
        <w:szCs w:val="16"/>
      </w:rPr>
    </w:pPr>
    <w:r>
      <w:rPr>
        <w:b/>
        <w:sz w:val="16"/>
        <w:szCs w:val="16"/>
      </w:rPr>
      <w:t>Wybrane przepisy są istotne z punktu widzenia projektu OMX – Obywatelskiego Monitoringu Wyboru Sędziów TK</w:t>
    </w:r>
  </w:p>
</w:hdr>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pl-PL" w:eastAsia="en-US" w:bidi="ar-SA"/>
    </w:rPr>
  </w:style>
  <w:style w:type="paragraph" w:styleId="Nagwek1">
    <w:name w:val="Nagłówek 1"/>
    <w:basedOn w:val="Nagwek"/>
    <w:pPr/>
    <w:rPr/>
  </w:style>
  <w:style w:type="paragraph" w:styleId="Nagwek2">
    <w:name w:val="Nagłówek 2"/>
    <w:basedOn w:val="Nagwek"/>
    <w:pPr/>
    <w:rPr/>
  </w:style>
  <w:style w:type="paragraph" w:styleId="Nagwek3">
    <w:name w:val="Nagłówek 3"/>
    <w:basedOn w:val="Nagwek"/>
    <w:pPr/>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semiHidden/>
    <w:qFormat/>
    <w:rsid w:val="001a1cf3"/>
    <w:rPr>
      <w:sz w:val="20"/>
      <w:szCs w:val="20"/>
    </w:rPr>
  </w:style>
  <w:style w:type="character" w:styleId="Footnotereference">
    <w:name w:val="footnote reference"/>
    <w:basedOn w:val="DefaultParagraphFont"/>
    <w:uiPriority w:val="99"/>
    <w:semiHidden/>
    <w:unhideWhenUsed/>
    <w:qFormat/>
    <w:rsid w:val="001a1cf3"/>
    <w:rPr>
      <w:vertAlign w:val="superscript"/>
    </w:rPr>
  </w:style>
  <w:style w:type="character" w:styleId="NagwekZnak" w:customStyle="1">
    <w:name w:val="Nagłówek Znak"/>
    <w:basedOn w:val="DefaultParagraphFont"/>
    <w:link w:val="Nagwek"/>
    <w:uiPriority w:val="99"/>
    <w:qFormat/>
    <w:rsid w:val="00100f9e"/>
    <w:rPr/>
  </w:style>
  <w:style w:type="character" w:styleId="StopkaZnak" w:customStyle="1">
    <w:name w:val="Stopka Znak"/>
    <w:basedOn w:val="DefaultParagraphFont"/>
    <w:link w:val="Stopka"/>
    <w:uiPriority w:val="99"/>
    <w:qFormat/>
    <w:rsid w:val="00100f9e"/>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Footnotetext">
    <w:name w:val="footnote text"/>
    <w:basedOn w:val="Normal"/>
    <w:link w:val="TekstprzypisudolnegoZnak"/>
    <w:uiPriority w:val="99"/>
    <w:semiHidden/>
    <w:unhideWhenUsed/>
    <w:qFormat/>
    <w:rsid w:val="001a1cf3"/>
    <w:pPr>
      <w:spacing w:lineRule="auto" w:line="240" w:before="0" w:after="0"/>
    </w:pPr>
    <w:rPr>
      <w:sz w:val="20"/>
      <w:szCs w:val="20"/>
    </w:rPr>
  </w:style>
  <w:style w:type="paragraph" w:styleId="Gwka">
    <w:name w:val="Główka"/>
    <w:basedOn w:val="Normal"/>
    <w:link w:val="NagwekZnak"/>
    <w:uiPriority w:val="99"/>
    <w:unhideWhenUsed/>
    <w:rsid w:val="00100f9e"/>
    <w:pPr>
      <w:tabs>
        <w:tab w:val="center" w:pos="4536" w:leader="none"/>
        <w:tab w:val="right" w:pos="9072" w:leader="none"/>
      </w:tabs>
      <w:spacing w:lineRule="auto" w:line="240" w:before="0" w:after="0"/>
    </w:pPr>
    <w:rPr/>
  </w:style>
  <w:style w:type="paragraph" w:styleId="Stopka">
    <w:name w:val="Stopka"/>
    <w:basedOn w:val="Normal"/>
    <w:link w:val="StopkaZnak"/>
    <w:uiPriority w:val="99"/>
    <w:unhideWhenUsed/>
    <w:rsid w:val="00100f9e"/>
    <w:pPr>
      <w:tabs>
        <w:tab w:val="center" w:pos="4536" w:leader="none"/>
        <w:tab w:val="right" w:pos="9072" w:leader="none"/>
      </w:tabs>
      <w:spacing w:lineRule="auto" w:line="240" w:before="0" w:after="0"/>
    </w:pPr>
    <w:rPr/>
  </w:style>
  <w:style w:type="paragraph" w:styleId="Przypisdolny">
    <w:name w:val="Przypis dolny"/>
    <w:basedOn w:val="Normal"/>
    <w:pPr/>
    <w:rPr/>
  </w:style>
  <w:style w:type="paragraph" w:styleId="Cytaty">
    <w:name w:val="Cytaty"/>
    <w:basedOn w:val="Normal"/>
    <w:qFormat/>
    <w:pPr/>
    <w:rPr/>
  </w:style>
  <w:style w:type="paragraph" w:styleId="Tytu">
    <w:name w:val="Tytuł"/>
    <w:basedOn w:val="Nagwek"/>
    <w:pPr/>
    <w:rPr/>
  </w:style>
  <w:style w:type="paragraph" w:styleId="Podtytu">
    <w:name w:val="Podtytuł"/>
    <w:basedOn w:val="Nagwek"/>
    <w:pPr/>
    <w:rPr/>
  </w:style>
  <w:style w:type="paragraph" w:styleId="Default">
    <w:name w:val="Default"/>
    <w:qFormat/>
    <w:pPr>
      <w:widowControl w:val="false"/>
      <w:spacing w:lineRule="auto" w:line="259"/>
      <w:jc w:val="left"/>
    </w:pPr>
    <w:rPr>
      <w:rFonts w:ascii="Times New Roman" w:hAnsi="Times New Roman" w:eastAsia="Calibri" w:cs="" w:cstheme="minorBidi" w:eastAsiaTheme="minorHAnsi"/>
      <w:color w:val="000000"/>
      <w:sz w:val="24"/>
      <w:szCs w:val="22"/>
      <w:lang w:val="pl-PL" w:eastAsia="en-US" w:bidi="ar-SA"/>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4529f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D3D7A-25BB-4C75-A193-BBDA08AEE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Application>LibreOffice/5.0.2.2$Windows_x86 LibreOffice_project/37b43f919e4de5eeaca9b9755ed688758a8251fe</Application>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2015-12-01T15:04:00Z</dcterms:created>
  <dc:creator>Katarzyna</dc:creator>
  <dc:language>pl-PL</dc:language>
  <dcterms:modified xsi:type="dcterms:W3CDTF">2015-12-20T11:53:27Z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