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1" w:rsidRPr="004A5FA3" w:rsidRDefault="006625B1" w:rsidP="004A5FA3">
      <w:pPr>
        <w:pStyle w:val="Style1"/>
        <w:widowControl/>
        <w:spacing w:line="276" w:lineRule="auto"/>
        <w:jc w:val="both"/>
        <w:rPr>
          <w:rStyle w:val="FontStyle12"/>
          <w:rFonts w:asciiTheme="minorHAnsi" w:hAnsiTheme="minorHAnsi"/>
          <w:sz w:val="22"/>
          <w:szCs w:val="22"/>
        </w:rPr>
      </w:pPr>
    </w:p>
    <w:p w:rsidR="006625B1" w:rsidRPr="004A5FA3" w:rsidRDefault="003F5221" w:rsidP="004A5FA3">
      <w:pPr>
        <w:pStyle w:val="Style1"/>
        <w:widowControl/>
        <w:spacing w:line="276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4A5FA3">
        <w:rPr>
          <w:rStyle w:val="FontStyle12"/>
          <w:rFonts w:asciiTheme="minorHAnsi" w:hAnsiTheme="minorHAnsi"/>
          <w:sz w:val="22"/>
          <w:szCs w:val="22"/>
        </w:rPr>
        <w:t xml:space="preserve">CZARNOGÓRA </w:t>
      </w:r>
      <w:r w:rsidRPr="004A5FA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-217170</wp:posOffset>
            </wp:positionV>
            <wp:extent cx="1514475" cy="4095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4FA" w:rsidRPr="00AC3822" w:rsidRDefault="007844FA" w:rsidP="007844FA">
      <w:pPr>
        <w:spacing w:after="200" w:line="276" w:lineRule="auto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9158"/>
      </w:tblGrid>
      <w:tr w:rsidR="007844FA" w:rsidRPr="00AC3822" w:rsidTr="00AC43CC">
        <w:tc>
          <w:tcPr>
            <w:tcW w:w="9212" w:type="dxa"/>
            <w:shd w:val="clear" w:color="auto" w:fill="348DA5"/>
          </w:tcPr>
          <w:p w:rsidR="007844FA" w:rsidRDefault="007844FA" w:rsidP="00AC43CC">
            <w:pPr>
              <w:pStyle w:val="Cytatintensywny"/>
              <w:spacing w:before="0" w:after="0"/>
              <w:ind w:left="284"/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</w:pPr>
            <w:r w:rsidRPr="003E133D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NAZWA PROJEKTU: </w:t>
            </w:r>
            <w:r w:rsidRPr="003E133D"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  <w:t>Garancije nezavisnosti sudstva – reforma izbora sudija / Independence of the Judiciary – Lobbying for the Reform of Appointment of Judges and Prosecutors  (Niezależność wymiaru sprawiedliwości – reforma systemu mianowania sędziów i prokuratorów)</w:t>
            </w:r>
          </w:p>
          <w:p w:rsidR="003E133D" w:rsidRPr="003E133D" w:rsidRDefault="003E133D" w:rsidP="003E133D"/>
          <w:p w:rsidR="007844FA" w:rsidRPr="00DE3B17" w:rsidRDefault="007844FA" w:rsidP="00AC43CC">
            <w:pPr>
              <w:pStyle w:val="Cytatintensywny"/>
              <w:spacing w:before="0" w:after="0"/>
              <w:ind w:left="284"/>
              <w:rPr>
                <w:rFonts w:eastAsia="Times New Roman"/>
                <w:color w:val="FFFFFF" w:themeColor="background1"/>
              </w:rPr>
            </w:pPr>
            <w:r w:rsidRPr="003E133D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TYP MONITORINGU: ewaluacja rozwiązań przyjętych w wymiarze sprawiedliwości na etapie reformy prawnej i ocena nowych rozwiązań</w:t>
            </w:r>
            <w:r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844FA" w:rsidRPr="00DE3B17" w:rsidTr="00AC43CC">
        <w:tc>
          <w:tcPr>
            <w:tcW w:w="9212" w:type="dxa"/>
            <w:shd w:val="clear" w:color="auto" w:fill="FDE9D9"/>
          </w:tcPr>
          <w:p w:rsidR="007844FA" w:rsidRPr="00AC3822" w:rsidRDefault="007844FA" w:rsidP="00AC43CC">
            <w:pPr>
              <w:rPr>
                <w:rFonts w:eastAsia="Calibri"/>
                <w:bCs/>
                <w:color w:val="000000"/>
              </w:rPr>
            </w:pPr>
            <w:r w:rsidRPr="00AC382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ORGANIZACJA REALIZUJĄCA PROJEKT </w:t>
            </w:r>
          </w:p>
          <w:p w:rsidR="007844FA" w:rsidRPr="00DE3B17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7844FA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 xml:space="preserve">Human Rights Action Czarnogóra, http://www.hraction.org/. </w:t>
            </w:r>
            <w:r w:rsidRPr="00DE3B17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 xml:space="preserve">Organizacja pozarządowa powstała </w:t>
            </w:r>
            <w:r w:rsidRPr="00DE3B17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br/>
              <w:t xml:space="preserve">w 2004. HRA monitoruje sytuację praw człowieka w całym kraju, analizując różne aspekty zagadnienia, od jakości służby publicznej po wolność wypowiedzi. Oprócz działalności monitoringowej i prowadzenia kampanii społecznych/lobbingowych organizacja prowadzi bezpłatne poradnictwo prawne dla osób które są domniemanymi ofiarami naruszeń praw człowieka i jest </w:t>
            </w:r>
            <w:r w:rsidRPr="00DE3B17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>zaangażowana w prowadzenie spraw precedensowych.</w:t>
            </w:r>
          </w:p>
          <w:p w:rsidR="007844FA" w:rsidRPr="00DE3B17" w:rsidRDefault="007844FA" w:rsidP="00AC43CC">
            <w:pPr>
              <w:pStyle w:val="Style1"/>
              <w:widowControl/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7844FA" w:rsidRPr="00AC3822" w:rsidTr="00AC43CC">
        <w:tc>
          <w:tcPr>
            <w:tcW w:w="9212" w:type="dxa"/>
            <w:shd w:val="clear" w:color="auto" w:fill="FEF4EC"/>
          </w:tcPr>
          <w:p w:rsidR="007844FA" w:rsidRDefault="007844FA" w:rsidP="00AC43CC">
            <w:pPr>
              <w:spacing w:after="120"/>
              <w:rPr>
                <w:rFonts w:eastAsia="Calibri"/>
                <w:b/>
                <w:bCs/>
                <w:color w:val="000000"/>
              </w:rPr>
            </w:pPr>
            <w:r w:rsidRPr="00AC38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OPIS PROJEKTU</w:t>
            </w:r>
          </w:p>
          <w:p w:rsidR="007844FA" w:rsidRPr="004A5FA3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4A5FA3">
              <w:rPr>
                <w:rStyle w:val="FontStyle11"/>
                <w:rFonts w:asciiTheme="minorHAnsi" w:hAnsiTheme="minorHAnsi"/>
                <w:color w:val="auto"/>
              </w:rPr>
              <w:t xml:space="preserve">Projekt </w:t>
            </w:r>
            <w:r w:rsidRPr="004A5FA3">
              <w:rPr>
                <w:rStyle w:val="FontStyle12"/>
                <w:b w:val="0"/>
                <w:i/>
                <w:color w:val="auto"/>
                <w:sz w:val="22"/>
                <w:szCs w:val="22"/>
              </w:rPr>
              <w:t>Niezależność wymiaru sprawiedliwości – reforma systemu mianowania</w:t>
            </w:r>
            <w:r w:rsidRPr="004A5FA3">
              <w:rPr>
                <w:rStyle w:val="FontStyle12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sędziów i prokuratorów</w:t>
            </w:r>
            <w:r w:rsidRPr="004A5FA3">
              <w:rPr>
                <w:rStyle w:val="FontStyle11"/>
                <w:rFonts w:asciiTheme="minorHAnsi" w:hAnsiTheme="minorHAnsi"/>
                <w:color w:val="auto"/>
              </w:rPr>
              <w:t xml:space="preserve"> dotyczył problemu systemu nominacji sędziów i prokuratorów – </w:t>
            </w:r>
            <w:r w:rsidRPr="004A5FA3">
              <w:rPr>
                <w:rStyle w:val="FontStyle11"/>
                <w:rFonts w:asciiTheme="minorHAnsi" w:hAnsiTheme="minorHAnsi"/>
                <w:b/>
                <w:color w:val="auto"/>
              </w:rPr>
              <w:t>celem strategicznym było przygotowanie projektu reformy sądownictwa w tym zakresie.</w:t>
            </w:r>
            <w:r w:rsidRPr="004A5FA3">
              <w:rPr>
                <w:rStyle w:val="FontStyle11"/>
                <w:rFonts w:asciiTheme="minorHAnsi" w:hAnsiTheme="minorHAnsi"/>
                <w:color w:val="auto"/>
              </w:rPr>
              <w:t xml:space="preserve"> Projekt został zrealizowany w latach 2006-2009 i był projektem eksperckim, opartym o ocenę dotychczasowych standardów prawnych i stworzenie propozycji zmian systemowych jak również monitoring i ewaluację </w:t>
            </w:r>
            <w:r>
              <w:rPr>
                <w:rStyle w:val="FontStyle11"/>
                <w:rFonts w:asciiTheme="minorHAnsi" w:hAnsiTheme="minorHAnsi"/>
                <w:color w:val="auto"/>
              </w:rPr>
              <w:t xml:space="preserve">nowych rozwiązań prawnych wprowadzonych w trakcie reformy sądownictwa. </w:t>
            </w:r>
          </w:p>
          <w:p w:rsidR="007844FA" w:rsidRPr="004A5FA3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</w:p>
          <w:p w:rsidR="007844FA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  <w:b/>
              </w:rPr>
            </w:pPr>
            <w:r w:rsidRPr="00B30344">
              <w:rPr>
                <w:rStyle w:val="FontStyle11"/>
                <w:rFonts w:asciiTheme="minorHAnsi" w:hAnsiTheme="minorHAnsi"/>
                <w:b/>
              </w:rPr>
              <w:t xml:space="preserve">Narzędzia: </w:t>
            </w:r>
          </w:p>
          <w:p w:rsidR="007844FA" w:rsidRPr="00B30344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  <w:b/>
              </w:rPr>
            </w:pPr>
          </w:p>
          <w:p w:rsidR="007844FA" w:rsidRPr="004A5FA3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4A5FA3">
              <w:rPr>
                <w:rStyle w:val="FontStyle11"/>
                <w:rFonts w:asciiTheme="minorHAnsi" w:hAnsiTheme="minorHAnsi"/>
              </w:rPr>
              <w:t xml:space="preserve">- stworzenie projektu  procedury nominacji sędziów </w:t>
            </w:r>
            <w:r>
              <w:rPr>
                <w:rStyle w:val="FontStyle11"/>
                <w:rFonts w:asciiTheme="minorHAnsi" w:hAnsiTheme="minorHAnsi"/>
              </w:rPr>
              <w:t>i</w:t>
            </w:r>
            <w:r w:rsidRPr="004A5FA3">
              <w:rPr>
                <w:rStyle w:val="FontStyle11"/>
                <w:rFonts w:asciiTheme="minorHAnsi" w:hAnsiTheme="minorHAnsi"/>
              </w:rPr>
              <w:t xml:space="preserve"> prokuratorów w oparciu o obiektywne kryteria wraz z propozycją mechanizmu kontrolnego</w:t>
            </w:r>
            <w:r>
              <w:rPr>
                <w:rStyle w:val="FontStyle11"/>
                <w:rFonts w:asciiTheme="minorHAnsi" w:hAnsiTheme="minorHAnsi"/>
              </w:rPr>
              <w:t>,</w:t>
            </w:r>
          </w:p>
          <w:p w:rsidR="007844FA" w:rsidRPr="004A5FA3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4A5FA3">
              <w:rPr>
                <w:rStyle w:val="FontStyle11"/>
                <w:rFonts w:asciiTheme="minorHAnsi" w:hAnsiTheme="minorHAnsi"/>
              </w:rPr>
              <w:t xml:space="preserve">- stworzenie portalu internetowego na temat </w:t>
            </w:r>
            <w:r>
              <w:rPr>
                <w:rStyle w:val="FontStyle11"/>
                <w:rFonts w:asciiTheme="minorHAnsi" w:hAnsiTheme="minorHAnsi"/>
              </w:rPr>
              <w:t>procedury nominacji sędziów i prokuratorów</w:t>
            </w:r>
            <w:r w:rsidRPr="004A5FA3">
              <w:rPr>
                <w:rStyle w:val="FontStyle11"/>
                <w:rFonts w:asciiTheme="minorHAnsi" w:hAnsiTheme="minorHAnsi"/>
              </w:rPr>
              <w:t xml:space="preserve">, który nie tylko </w:t>
            </w:r>
            <w:r>
              <w:rPr>
                <w:rStyle w:val="FontStyle11"/>
                <w:rFonts w:asciiTheme="minorHAnsi" w:hAnsiTheme="minorHAnsi"/>
              </w:rPr>
              <w:t>służył</w:t>
            </w:r>
            <w:r w:rsidRPr="004A5FA3">
              <w:rPr>
                <w:rStyle w:val="FontStyle11"/>
                <w:rFonts w:asciiTheme="minorHAnsi" w:hAnsiTheme="minorHAnsi"/>
              </w:rPr>
              <w:t xml:space="preserve"> jako źródło wiedzy dla parlamentarzystów, ale jako zachęta do publicznej debaty</w:t>
            </w:r>
            <w:r>
              <w:rPr>
                <w:rStyle w:val="FontStyle11"/>
                <w:rFonts w:asciiTheme="minorHAnsi" w:hAnsiTheme="minorHAnsi"/>
              </w:rPr>
              <w:t xml:space="preserve">, </w:t>
            </w:r>
          </w:p>
          <w:p w:rsidR="007844FA" w:rsidRPr="004A5FA3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4A5FA3">
              <w:rPr>
                <w:rStyle w:val="FontStyle11"/>
                <w:rFonts w:asciiTheme="minorHAnsi" w:hAnsiTheme="minorHAnsi"/>
              </w:rPr>
              <w:t>- ewaluacja i ocena przez grupę ekspercką dotychczasowych regulacji, praktyki, międzynarodowych standardów dotyczących procesu nominacji sędziów i prokuratorów</w:t>
            </w:r>
            <w:r>
              <w:rPr>
                <w:rStyle w:val="FontStyle11"/>
                <w:rFonts w:asciiTheme="minorHAnsi" w:hAnsiTheme="minorHAnsi"/>
              </w:rPr>
              <w:t xml:space="preserve">. </w:t>
            </w:r>
            <w:r w:rsidRPr="004A5FA3">
              <w:rPr>
                <w:rStyle w:val="FontStyle11"/>
                <w:rFonts w:asciiTheme="minorHAnsi" w:hAnsiTheme="minorHAnsi"/>
              </w:rPr>
              <w:t xml:space="preserve"> </w:t>
            </w:r>
          </w:p>
          <w:p w:rsidR="007844FA" w:rsidRPr="00B30344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  <w:b/>
              </w:rPr>
            </w:pPr>
          </w:p>
          <w:p w:rsidR="007844FA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  <w:b/>
              </w:rPr>
            </w:pPr>
            <w:r w:rsidRPr="00B30344">
              <w:rPr>
                <w:rStyle w:val="FontStyle11"/>
                <w:rFonts w:asciiTheme="minorHAnsi" w:hAnsiTheme="minorHAnsi"/>
                <w:b/>
              </w:rPr>
              <w:t>Etapy projektu</w:t>
            </w:r>
            <w:r>
              <w:rPr>
                <w:rStyle w:val="FontStyle11"/>
                <w:rFonts w:asciiTheme="minorHAnsi" w:hAnsiTheme="minorHAnsi"/>
                <w:b/>
              </w:rPr>
              <w:t xml:space="preserve">: </w:t>
            </w:r>
          </w:p>
          <w:p w:rsidR="007844FA" w:rsidRPr="00B30344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  <w:b/>
              </w:rPr>
            </w:pPr>
          </w:p>
          <w:p w:rsidR="007844FA" w:rsidRPr="004A5FA3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4A5FA3">
              <w:rPr>
                <w:rStyle w:val="FontStyle11"/>
                <w:rFonts w:asciiTheme="minorHAnsi" w:hAnsiTheme="minorHAnsi"/>
              </w:rPr>
              <w:t>-</w:t>
            </w:r>
            <w:r>
              <w:rPr>
                <w:rStyle w:val="FontStyle11"/>
                <w:rFonts w:asciiTheme="minorHAnsi" w:hAnsiTheme="minorHAnsi"/>
              </w:rPr>
              <w:t xml:space="preserve"> </w:t>
            </w:r>
            <w:r w:rsidRPr="00B30344">
              <w:rPr>
                <w:rStyle w:val="FontStyle11"/>
                <w:rFonts w:asciiTheme="minorHAnsi" w:hAnsiTheme="minorHAnsi"/>
                <w:i/>
              </w:rPr>
              <w:t>2.11.2006</w:t>
            </w:r>
            <w:r>
              <w:rPr>
                <w:rStyle w:val="FontStyle11"/>
                <w:rFonts w:asciiTheme="minorHAnsi" w:hAnsiTheme="minorHAnsi"/>
              </w:rPr>
              <w:t xml:space="preserve"> – panel dyskusyjny „</w:t>
            </w:r>
            <w:r w:rsidRPr="004A5FA3">
              <w:rPr>
                <w:rStyle w:val="FontStyle11"/>
                <w:rFonts w:asciiTheme="minorHAnsi" w:hAnsiTheme="minorHAnsi"/>
              </w:rPr>
              <w:t xml:space="preserve">Nowa Konstytucja – charakter, zasady i rozwiązania w zakresie demokracji i praw człowieka” – przedstawiony projekt konstytucji został poddany krytyce przez HRA w zakresie rozwiązań dotyczących </w:t>
            </w:r>
            <w:r>
              <w:rPr>
                <w:rStyle w:val="FontStyle11"/>
                <w:rFonts w:asciiTheme="minorHAnsi" w:hAnsiTheme="minorHAnsi"/>
              </w:rPr>
              <w:t>nominacji</w:t>
            </w:r>
            <w:r w:rsidRPr="004A5FA3">
              <w:rPr>
                <w:rStyle w:val="FontStyle11"/>
                <w:rFonts w:asciiTheme="minorHAnsi" w:hAnsiTheme="minorHAnsi"/>
              </w:rPr>
              <w:t xml:space="preserve"> sędziów i prokuratorów</w:t>
            </w:r>
            <w:r w:rsidRPr="004A5FA3">
              <w:rPr>
                <w:rStyle w:val="FontStyle11"/>
                <w:rFonts w:asciiTheme="minorHAnsi" w:hAnsiTheme="minorHAnsi"/>
              </w:rPr>
              <w:cr/>
            </w:r>
          </w:p>
          <w:p w:rsidR="007844FA" w:rsidRPr="004A5FA3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>
              <w:rPr>
                <w:rStyle w:val="FontStyle11"/>
                <w:rFonts w:asciiTheme="minorHAnsi" w:hAnsiTheme="minorHAnsi"/>
              </w:rPr>
              <w:t xml:space="preserve">- </w:t>
            </w:r>
            <w:r w:rsidRPr="00B30344">
              <w:rPr>
                <w:rStyle w:val="FontStyle11"/>
                <w:rFonts w:asciiTheme="minorHAnsi" w:hAnsiTheme="minorHAnsi"/>
                <w:i/>
              </w:rPr>
              <w:t>Styczeń</w:t>
            </w:r>
            <w:r>
              <w:rPr>
                <w:rStyle w:val="FontStyle11"/>
                <w:rFonts w:asciiTheme="minorHAnsi" w:hAnsiTheme="minorHAnsi"/>
                <w:i/>
              </w:rPr>
              <w:t xml:space="preserve"> 2007</w:t>
            </w:r>
            <w:r w:rsidRPr="00B30344">
              <w:rPr>
                <w:rStyle w:val="FontStyle11"/>
                <w:rFonts w:asciiTheme="minorHAnsi" w:hAnsiTheme="minorHAnsi"/>
                <w:i/>
              </w:rPr>
              <w:t xml:space="preserve"> – maj 2007</w:t>
            </w:r>
            <w:r w:rsidRPr="004A5FA3">
              <w:rPr>
                <w:rStyle w:val="FontStyle11"/>
                <w:rFonts w:asciiTheme="minorHAnsi" w:hAnsiTheme="minorHAnsi"/>
              </w:rPr>
              <w:t xml:space="preserve"> – prace nad stworzeniem standardów n</w:t>
            </w:r>
            <w:r>
              <w:rPr>
                <w:rStyle w:val="FontStyle11"/>
                <w:rFonts w:asciiTheme="minorHAnsi" w:hAnsiTheme="minorHAnsi"/>
              </w:rPr>
              <w:t>ominacji sędziów i prokuratorów (</w:t>
            </w:r>
            <w:r w:rsidRPr="004A5FA3">
              <w:rPr>
                <w:rStyle w:val="FontStyle11"/>
                <w:rFonts w:asciiTheme="minorHAnsi" w:hAnsiTheme="minorHAnsi"/>
              </w:rPr>
              <w:t xml:space="preserve">ewaluacja istniejących rozwiązań prawnych jak i stworzenie zbioru dobrych praktyk, które powinny </w:t>
            </w:r>
            <w:r w:rsidRPr="004A5FA3">
              <w:rPr>
                <w:rStyle w:val="FontStyle11"/>
                <w:rFonts w:asciiTheme="minorHAnsi" w:hAnsiTheme="minorHAnsi"/>
              </w:rPr>
              <w:lastRenderedPageBreak/>
              <w:t>zostać uwzględnione w zmianach systemowych</w:t>
            </w:r>
            <w:r>
              <w:rPr>
                <w:rStyle w:val="FontStyle11"/>
                <w:rFonts w:asciiTheme="minorHAnsi" w:hAnsiTheme="minorHAnsi"/>
              </w:rPr>
              <w:t>)</w:t>
            </w:r>
            <w:r w:rsidRPr="004A5FA3">
              <w:rPr>
                <w:rStyle w:val="FontStyle11"/>
                <w:rFonts w:asciiTheme="minorHAnsi" w:hAnsiTheme="minorHAnsi"/>
              </w:rPr>
              <w:t xml:space="preserve"> </w:t>
            </w:r>
          </w:p>
          <w:p w:rsidR="007844FA" w:rsidRPr="004A5FA3" w:rsidRDefault="007844FA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4A5FA3">
              <w:rPr>
                <w:rStyle w:val="FontStyle11"/>
                <w:rFonts w:asciiTheme="minorHAnsi" w:hAnsiTheme="minorHAnsi"/>
              </w:rPr>
              <w:t xml:space="preserve">- </w:t>
            </w:r>
            <w:r w:rsidRPr="00B30344">
              <w:rPr>
                <w:rStyle w:val="FontStyle11"/>
                <w:rFonts w:asciiTheme="minorHAnsi" w:hAnsiTheme="minorHAnsi"/>
                <w:i/>
              </w:rPr>
              <w:t>12.06.2007</w:t>
            </w:r>
            <w:r w:rsidRPr="004A5FA3">
              <w:rPr>
                <w:rStyle w:val="FontStyle11"/>
                <w:rFonts w:asciiTheme="minorHAnsi" w:hAnsiTheme="minorHAnsi"/>
              </w:rPr>
              <w:t xml:space="preserve"> – panel dyskusyjny w Podgoricy, w którym uczestniczyli przedstawiciele zarówno ministerstwa sprawiedliwości, rządu, Parlamentu jak i organizacji pozarządowych – przedstawienie raportu i sugerowanych zmian legislacyjnych </w:t>
            </w:r>
          </w:p>
          <w:p w:rsidR="007844FA" w:rsidRPr="00AC3822" w:rsidRDefault="007844FA" w:rsidP="00AC43CC">
            <w:pPr>
              <w:rPr>
                <w:rFonts w:eastAsia="Calibri"/>
                <w:b/>
                <w:bCs/>
                <w:color w:val="000000"/>
              </w:rPr>
            </w:pPr>
            <w:r w:rsidRPr="00DE3B17">
              <w:rPr>
                <w:rStyle w:val="FontStyle11"/>
                <w:rFonts w:asciiTheme="minorHAnsi" w:hAnsiTheme="minorHAnsi"/>
              </w:rPr>
              <w:t xml:space="preserve">- </w:t>
            </w:r>
            <w:r w:rsidRPr="00DE3B17">
              <w:rPr>
                <w:rStyle w:val="FontStyle11"/>
                <w:rFonts w:asciiTheme="minorHAnsi" w:hAnsiTheme="minorHAnsi"/>
                <w:i/>
              </w:rPr>
              <w:t>2009</w:t>
            </w:r>
            <w:r w:rsidRPr="00DE3B17">
              <w:rPr>
                <w:rStyle w:val="FontStyle11"/>
                <w:rFonts w:asciiTheme="minorHAnsi" w:hAnsiTheme="minorHAnsi"/>
              </w:rPr>
              <w:t xml:space="preserve"> – HRA przedstawiła raport oceniający reformę sądownictwa przeprowadzoną w Czarnogórze w latach 2007-2008  - część uwag z projektu HRA została uwzględniona w zmianach legislacyjnych, jednakże część postulatów nie została nawet przedyskutowana (jak wprowadzenie zapisów legislacyjnych dotyczących wyglądu procedury nominacji i kryteriów wyboru sędziów i prokuratorów  na poziomie ustawy)</w:t>
            </w:r>
          </w:p>
          <w:p w:rsidR="007844FA" w:rsidRPr="00AC3822" w:rsidRDefault="007844FA" w:rsidP="00AC43CC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7844FA" w:rsidRPr="00AC3822" w:rsidTr="00AC43CC">
        <w:tc>
          <w:tcPr>
            <w:tcW w:w="9212" w:type="dxa"/>
            <w:shd w:val="clear" w:color="auto" w:fill="FDE9D9"/>
          </w:tcPr>
          <w:p w:rsidR="007844FA" w:rsidRPr="00AC3822" w:rsidRDefault="007844FA" w:rsidP="00AC43CC">
            <w:pPr>
              <w:rPr>
                <w:rFonts w:eastAsia="Calibri"/>
                <w:b/>
                <w:bCs/>
                <w:color w:val="000000"/>
              </w:rPr>
            </w:pPr>
            <w:r w:rsidRPr="00AC3822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RAPORT</w:t>
            </w:r>
          </w:p>
          <w:p w:rsidR="007844FA" w:rsidRPr="00DE3B17" w:rsidRDefault="007844FA" w:rsidP="00AC43C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E3B17">
              <w:rPr>
                <w:rFonts w:asciiTheme="minorHAnsi" w:hAnsiTheme="minorHAnsi"/>
                <w:sz w:val="22"/>
                <w:szCs w:val="22"/>
              </w:rPr>
              <w:t>Dwa główne dokumenty stworzone jako efekt projektu to:</w:t>
            </w:r>
          </w:p>
          <w:p w:rsidR="007844FA" w:rsidRPr="004A5FA3" w:rsidRDefault="007844FA" w:rsidP="007844FA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4A5FA3">
              <w:rPr>
                <w:rFonts w:cs="Times New Roman"/>
              </w:rPr>
              <w:t xml:space="preserve">ropozycja reformy systemu nominacji sędziów i prokuratorów (2007) </w:t>
            </w:r>
            <w:hyperlink r:id="rId8" w:history="1">
              <w:r w:rsidRPr="004A5FA3">
                <w:rPr>
                  <w:rStyle w:val="Hipercze"/>
                </w:rPr>
                <w:t>http://www.hraction.org/wp- content/uploads/hra_reform_proposal_eng.pdf</w:t>
              </w:r>
            </w:hyperlink>
            <w:r w:rsidRPr="004A5FA3">
              <w:rPr>
                <w:rFonts w:cs="Times New Roman"/>
              </w:rPr>
              <w:t xml:space="preserve"> – raport zawiera propozycje zmian nie tylko w zakresie nominacji sędziów i prokuratorów, ale również wyboru członków </w:t>
            </w:r>
            <w:r>
              <w:rPr>
                <w:rFonts w:cs="Times New Roman"/>
              </w:rPr>
              <w:t>Krajowej Rady Sądownictwa i</w:t>
            </w:r>
            <w:r w:rsidRPr="004A5FA3">
              <w:rPr>
                <w:rFonts w:cs="Times New Roman"/>
              </w:rPr>
              <w:t xml:space="preserve"> je</w:t>
            </w:r>
            <w:r>
              <w:rPr>
                <w:rFonts w:cs="Times New Roman"/>
              </w:rPr>
              <w:t>j kompetencji, oraz</w:t>
            </w:r>
            <w:r w:rsidRPr="004A5FA3">
              <w:rPr>
                <w:rFonts w:cs="Times New Roman"/>
              </w:rPr>
              <w:t xml:space="preserve"> naruszenia </w:t>
            </w:r>
            <w:r>
              <w:rPr>
                <w:rFonts w:cs="Times New Roman"/>
              </w:rPr>
              <w:t xml:space="preserve">zasad etyki  </w:t>
            </w:r>
            <w:r w:rsidRPr="004A5FA3">
              <w:rPr>
                <w:rFonts w:cs="Times New Roman"/>
              </w:rPr>
              <w:t>zawodowej przez sędziów</w:t>
            </w:r>
            <w:r>
              <w:rPr>
                <w:rFonts w:cs="Times New Roman"/>
              </w:rPr>
              <w:t>,</w:t>
            </w:r>
          </w:p>
          <w:p w:rsidR="007844FA" w:rsidRPr="00AC3822" w:rsidRDefault="007844FA" w:rsidP="007844F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cs="Times New Roman"/>
              </w:rPr>
              <w:t>r</w:t>
            </w:r>
            <w:r w:rsidRPr="004A5FA3">
              <w:rPr>
                <w:rFonts w:cs="Times New Roman"/>
              </w:rPr>
              <w:t xml:space="preserve">aport z monitoringu reformy sądownictwa w latach 2007-2008 (2009) </w:t>
            </w:r>
            <w:hyperlink r:id="rId9" w:history="1">
              <w:r w:rsidRPr="004A5FA3">
                <w:rPr>
                  <w:rStyle w:val="Hipercze"/>
                </w:rPr>
                <w:t>http://www.hraction.org/wp-content/uploads/assesment-of-the-reform-of-appointment-of-judges-in-mne.pdf</w:t>
              </w:r>
            </w:hyperlink>
            <w:r w:rsidRPr="004A5FA3">
              <w:rPr>
                <w:rFonts w:cs="Times New Roman"/>
              </w:rPr>
              <w:t xml:space="preserve"> składa się z trzech części – przedstawienia proponowanych zmian, przedstawienia zmian wprowadzonych i części porównawczej (z uwzględnieniem rekomendacji).</w:t>
            </w:r>
          </w:p>
        </w:tc>
      </w:tr>
      <w:tr w:rsidR="007844FA" w:rsidRPr="00AC3822" w:rsidTr="00AC43CC">
        <w:tc>
          <w:tcPr>
            <w:tcW w:w="9212" w:type="dxa"/>
            <w:shd w:val="clear" w:color="auto" w:fill="FEF4EC"/>
          </w:tcPr>
          <w:p w:rsidR="007844FA" w:rsidRPr="00AC3822" w:rsidRDefault="007844FA" w:rsidP="00AC43CC">
            <w:pPr>
              <w:rPr>
                <w:rFonts w:eastAsia="Calibri"/>
                <w:b/>
                <w:bCs/>
                <w:color w:val="000000"/>
              </w:rPr>
            </w:pPr>
            <w:r w:rsidRPr="00AC38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INNE INFORMACJE</w:t>
            </w:r>
          </w:p>
          <w:p w:rsidR="007844FA" w:rsidRPr="00DE3B17" w:rsidRDefault="007844FA" w:rsidP="00AC43CC">
            <w:pPr>
              <w:pStyle w:val="Style1"/>
              <w:widowControl/>
              <w:spacing w:before="144" w:line="276" w:lineRule="auto"/>
              <w:jc w:val="both"/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</w:pPr>
            <w:r w:rsidRPr="00DE3B17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 xml:space="preserve">Pomimo reformy sądownictwa praktyka w Czarnogórze nadal pozostawia wiele do życzenia – HRA zaprezentowała 14 czerwca 2013 roku  raport z monitoringu działania Krajowej Rady Sądownictwa w latach 2008-2012, dostępny na: http://www.hraction.org/?p=1569.  </w:t>
            </w:r>
          </w:p>
          <w:p w:rsidR="007844FA" w:rsidRPr="00AC3822" w:rsidRDefault="007844FA" w:rsidP="00AC43CC">
            <w:pPr>
              <w:rPr>
                <w:rFonts w:eastAsia="Calibri"/>
                <w:b/>
                <w:bCs/>
                <w:color w:val="000000"/>
              </w:rPr>
            </w:pPr>
          </w:p>
          <w:p w:rsidR="007844FA" w:rsidRPr="00AC3822" w:rsidRDefault="007844FA" w:rsidP="00AC43CC">
            <w:pPr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6625B1" w:rsidRPr="004A5FA3" w:rsidRDefault="006625B1" w:rsidP="004A5FA3">
      <w:pPr>
        <w:pStyle w:val="Style1"/>
        <w:widowControl/>
        <w:spacing w:line="276" w:lineRule="auto"/>
        <w:jc w:val="both"/>
        <w:rPr>
          <w:rStyle w:val="FontStyle12"/>
          <w:rFonts w:asciiTheme="minorHAnsi" w:hAnsiTheme="minorHAnsi"/>
          <w:sz w:val="22"/>
          <w:szCs w:val="22"/>
        </w:rPr>
      </w:pPr>
    </w:p>
    <w:sectPr w:rsidR="006625B1" w:rsidRPr="004A5FA3" w:rsidSect="00AF3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634" w:right="1544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04" w:rsidRDefault="004E7904">
      <w:r>
        <w:separator/>
      </w:r>
    </w:p>
  </w:endnote>
  <w:endnote w:type="continuationSeparator" w:id="0">
    <w:p w:rsidR="004E7904" w:rsidRDefault="004E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3D" w:rsidRDefault="003E13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3D" w:rsidRDefault="003E133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650D5">
      <w:t xml:space="preserve">INPRIS – Instytut Prawa i Społeczeństwa, Projekt </w:t>
    </w:r>
    <w:r w:rsidRPr="006D1842">
      <w:rPr>
        <w:rFonts w:cs="Calibri"/>
      </w:rPr>
      <w:t>„</w:t>
    </w:r>
    <w:r w:rsidRPr="006D1842">
      <w:rPr>
        <w:rFonts w:cs="Calibri"/>
        <w:shd w:val="clear" w:color="auto" w:fill="FFFFFF"/>
      </w:rPr>
      <w:t>Opracowanie i upowszechnienie wśród organizacji pozarządowych różnych metod monitorowania instytucji wymiaru sprawiedliwości”</w:t>
    </w:r>
    <w:r>
      <w:rPr>
        <w:rFonts w:cs="Calibri"/>
        <w:shd w:val="clear" w:color="auto" w:fill="FFFFFF"/>
      </w:rPr>
      <w:t xml:space="preserve"> finansowany przez Fundację im. Stefana Batorego</w:t>
    </w:r>
    <w:r w:rsidRPr="006D1842">
      <w:rPr>
        <w:rFonts w:cs="Calibri"/>
        <w:shd w:val="clear" w:color="auto" w:fill="FFFFFF"/>
      </w:rPr>
      <w:t>.</w:t>
    </w:r>
    <w:r>
      <w:rPr>
        <w:rFonts w:asciiTheme="majorHAnsi" w:hAnsiTheme="majorHAnsi"/>
      </w:rPr>
      <w:ptab w:relativeTo="margin" w:alignment="right" w:leader="none"/>
    </w:r>
  </w:p>
  <w:p w:rsidR="003E133D" w:rsidRDefault="003E13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3D" w:rsidRDefault="003E13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04" w:rsidRDefault="004E7904">
      <w:r>
        <w:separator/>
      </w:r>
    </w:p>
  </w:footnote>
  <w:footnote w:type="continuationSeparator" w:id="0">
    <w:p w:rsidR="004E7904" w:rsidRDefault="004E7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3D" w:rsidRDefault="003E13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3D" w:rsidRDefault="003E13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3D" w:rsidRDefault="003E13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4845A"/>
    <w:lvl w:ilvl="0">
      <w:numFmt w:val="bullet"/>
      <w:lvlText w:val="*"/>
      <w:lvlJc w:val="left"/>
    </w:lvl>
  </w:abstractNum>
  <w:abstractNum w:abstractNumId="1">
    <w:nsid w:val="55445139"/>
    <w:multiLevelType w:val="hybridMultilevel"/>
    <w:tmpl w:val="F8A8D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25B1"/>
    <w:rsid w:val="00043937"/>
    <w:rsid w:val="002702D4"/>
    <w:rsid w:val="003E133D"/>
    <w:rsid w:val="003F5221"/>
    <w:rsid w:val="004A5FA3"/>
    <w:rsid w:val="004E7904"/>
    <w:rsid w:val="005425D2"/>
    <w:rsid w:val="00595623"/>
    <w:rsid w:val="00626F78"/>
    <w:rsid w:val="006625B1"/>
    <w:rsid w:val="007657F2"/>
    <w:rsid w:val="007844FA"/>
    <w:rsid w:val="0082065C"/>
    <w:rsid w:val="00861CF5"/>
    <w:rsid w:val="00906509"/>
    <w:rsid w:val="00AF314E"/>
    <w:rsid w:val="00B30344"/>
    <w:rsid w:val="00B85E40"/>
    <w:rsid w:val="00C325DD"/>
    <w:rsid w:val="00CA22FC"/>
    <w:rsid w:val="00E93D5D"/>
    <w:rsid w:val="00E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4E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F314E"/>
  </w:style>
  <w:style w:type="paragraph" w:customStyle="1" w:styleId="Style2">
    <w:name w:val="Style2"/>
    <w:basedOn w:val="Normalny"/>
    <w:uiPriority w:val="99"/>
    <w:rsid w:val="00AF314E"/>
    <w:pPr>
      <w:spacing w:line="269" w:lineRule="exact"/>
    </w:pPr>
  </w:style>
  <w:style w:type="paragraph" w:customStyle="1" w:styleId="Style3">
    <w:name w:val="Style3"/>
    <w:basedOn w:val="Normalny"/>
    <w:uiPriority w:val="99"/>
    <w:rsid w:val="00AF314E"/>
    <w:pPr>
      <w:spacing w:line="269" w:lineRule="exact"/>
      <w:ind w:hanging="360"/>
    </w:pPr>
  </w:style>
  <w:style w:type="character" w:customStyle="1" w:styleId="FontStyle11">
    <w:name w:val="Font Style11"/>
    <w:basedOn w:val="Domylnaczcionkaakapitu"/>
    <w:uiPriority w:val="99"/>
    <w:rsid w:val="00AF314E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F314E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F314E"/>
    <w:rPr>
      <w:rFonts w:cs="Times New Roman"/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93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43937"/>
    <w:rPr>
      <w:rFonts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F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1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33D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1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33D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</w:pPr>
  </w:style>
  <w:style w:type="paragraph" w:customStyle="1" w:styleId="Style3">
    <w:name w:val="Style3"/>
    <w:basedOn w:val="Normalny"/>
    <w:uiPriority w:val="99"/>
    <w:pPr>
      <w:spacing w:line="269" w:lineRule="exact"/>
      <w:ind w:hanging="360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93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43937"/>
    <w:rPr>
      <w:rFonts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F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ction.org/wp-%20content/uploads/hra_reform_proposal_eng.pdf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raction.org/wp-content/uploads/assesment-of-the-reform-of-appointment-of-judges-in-mn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Bojarski</dc:creator>
  <cp:lastModifiedBy>INPRIS</cp:lastModifiedBy>
  <cp:revision>4</cp:revision>
  <dcterms:created xsi:type="dcterms:W3CDTF">2013-08-30T06:00:00Z</dcterms:created>
  <dcterms:modified xsi:type="dcterms:W3CDTF">2013-09-22T15:43:00Z</dcterms:modified>
</cp:coreProperties>
</file>